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99B0" w14:textId="3C84B16C" w:rsidR="00D6183A" w:rsidRPr="009E6461" w:rsidRDefault="00D6183A" w:rsidP="00D6183A">
      <w:pPr>
        <w:pStyle w:val="3GPPHeader"/>
        <w:overflowPunct w:val="0"/>
        <w:autoSpaceDE w:val="0"/>
        <w:autoSpaceDN w:val="0"/>
        <w:adjustRightInd w:val="0"/>
        <w:spacing w:after="60" w:line="240" w:lineRule="auto"/>
        <w:jc w:val="both"/>
        <w:textAlignment w:val="baseline"/>
        <w:rPr>
          <w:rFonts w:ascii="Arial" w:hAnsi="Arial"/>
          <w:szCs w:val="20"/>
          <w:lang w:eastAsia="zh-CN"/>
        </w:rPr>
      </w:pPr>
      <w:r w:rsidRPr="009E6461">
        <w:rPr>
          <w:rFonts w:ascii="Arial" w:hAnsi="Arial"/>
          <w:szCs w:val="20"/>
          <w:lang w:eastAsia="zh-CN"/>
        </w:rPr>
        <w:t>3GPP TSG-RAN WG2 #101Bis</w:t>
      </w:r>
      <w:r w:rsidRPr="009E6461">
        <w:rPr>
          <w:rFonts w:ascii="Arial" w:hAnsi="Arial"/>
          <w:szCs w:val="20"/>
          <w:lang w:eastAsia="zh-CN"/>
        </w:rPr>
        <w:tab/>
        <w:t>Tdoc R2-</w:t>
      </w:r>
      <w:r w:rsidR="000D4126" w:rsidRPr="000D4126">
        <w:rPr>
          <w:rFonts w:ascii="Arial" w:hAnsi="Arial"/>
          <w:szCs w:val="20"/>
          <w:lang w:eastAsia="zh-CN"/>
        </w:rPr>
        <w:t>1805450</w:t>
      </w:r>
    </w:p>
    <w:p w14:paraId="2EB92AFB" w14:textId="404155BC" w:rsidR="00D6183A" w:rsidRPr="00D6183A" w:rsidRDefault="00D6183A" w:rsidP="00D6183A">
      <w:pPr>
        <w:pStyle w:val="3GPPHeader"/>
        <w:spacing w:after="60"/>
        <w:rPr>
          <w:rFonts w:cs="Arial"/>
          <w:noProof/>
          <w:szCs w:val="24"/>
        </w:rPr>
      </w:pPr>
      <w:r w:rsidRPr="009E6461">
        <w:rPr>
          <w:rFonts w:ascii="Arial" w:hAnsi="Arial"/>
          <w:szCs w:val="20"/>
          <w:lang w:eastAsia="zh-CN"/>
        </w:rPr>
        <w:t>Sanya, P.R. of China, 16th – 20th April 2018</w:t>
      </w:r>
      <w:r w:rsidRPr="0031155B">
        <w:rPr>
          <w:rFonts w:ascii="Arial" w:hAnsi="Arial" w:cs="Arial"/>
          <w:szCs w:val="24"/>
          <w:lang w:eastAsia="zh-CN"/>
        </w:rPr>
        <w:tab/>
      </w:r>
    </w:p>
    <w:p w14:paraId="2159C928"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p>
    <w:p w14:paraId="0C86D4FB" w14:textId="7B229BDA" w:rsidR="006910D2" w:rsidRPr="00D6183A"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val="sv-SE" w:eastAsia="zh-CN"/>
        </w:rPr>
      </w:pPr>
      <w:r w:rsidRPr="00D6183A">
        <w:rPr>
          <w:rFonts w:ascii="Arial" w:hAnsi="Arial"/>
          <w:b/>
          <w:lang w:val="sv-SE" w:eastAsia="zh-CN"/>
        </w:rPr>
        <w:t>Agenda Item:</w:t>
      </w:r>
      <w:r w:rsidRPr="00D6183A">
        <w:rPr>
          <w:rFonts w:ascii="Arial" w:hAnsi="Arial"/>
          <w:b/>
          <w:lang w:val="sv-SE" w:eastAsia="zh-CN"/>
        </w:rPr>
        <w:tab/>
      </w:r>
      <w:r w:rsidR="000D4126">
        <w:rPr>
          <w:rFonts w:ascii="Arial" w:hAnsi="Arial"/>
          <w:b/>
          <w:lang w:val="sv-SE" w:eastAsia="zh-CN"/>
        </w:rPr>
        <w:t>10.2.9</w:t>
      </w:r>
    </w:p>
    <w:p w14:paraId="2BA565AB"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Source:</w:t>
      </w:r>
      <w:r w:rsidRPr="006910D2">
        <w:rPr>
          <w:rFonts w:ascii="Arial" w:hAnsi="Arial"/>
          <w:b/>
          <w:lang w:eastAsia="zh-CN"/>
        </w:rPr>
        <w:tab/>
        <w:t>Ericsson</w:t>
      </w:r>
    </w:p>
    <w:p w14:paraId="033A2BB7" w14:textId="75125ADF"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Title:</w:t>
      </w:r>
      <w:r w:rsidRPr="006910D2">
        <w:rPr>
          <w:rFonts w:ascii="Arial" w:hAnsi="Arial"/>
          <w:b/>
          <w:lang w:eastAsia="zh-CN"/>
        </w:rPr>
        <w:tab/>
        <w:t xml:space="preserve">Support of SRB3 for </w:t>
      </w:r>
      <w:r w:rsidR="00556A2A">
        <w:rPr>
          <w:rFonts w:ascii="Arial" w:hAnsi="Arial"/>
          <w:b/>
          <w:lang w:eastAsia="zh-CN"/>
        </w:rPr>
        <w:t>NE-DC</w:t>
      </w:r>
    </w:p>
    <w:p w14:paraId="69ABAFBE"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Document for:</w:t>
      </w:r>
      <w:r w:rsidRPr="006910D2">
        <w:rPr>
          <w:rFonts w:ascii="Arial" w:hAnsi="Arial"/>
          <w:b/>
          <w:lang w:eastAsia="zh-CN"/>
        </w:rPr>
        <w:tab/>
        <w:t>Discussion, Decision</w:t>
      </w:r>
    </w:p>
    <w:p w14:paraId="73382CD2" w14:textId="77777777" w:rsidR="00C24345" w:rsidRPr="00F23D9D" w:rsidRDefault="00E90E49" w:rsidP="00A2052C">
      <w:pPr>
        <w:pStyle w:val="Heading1"/>
      </w:pPr>
      <w:r w:rsidRPr="00F23D9D">
        <w:t>Introduction</w:t>
      </w:r>
    </w:p>
    <w:p w14:paraId="4D1C7A09" w14:textId="749EF8B5" w:rsidR="00A2052C" w:rsidRPr="00BE2894" w:rsidRDefault="001102C3" w:rsidP="00A2052C">
      <w:pPr>
        <w:rPr>
          <w:rFonts w:ascii="Arial" w:hAnsi="Arial" w:cs="Arial"/>
          <w:sz w:val="20"/>
          <w:szCs w:val="20"/>
        </w:rPr>
      </w:pPr>
      <w:r>
        <w:rPr>
          <w:rFonts w:ascii="Arial" w:hAnsi="Arial" w:cs="Arial"/>
          <w:sz w:val="20"/>
          <w:szCs w:val="20"/>
        </w:rPr>
        <w:t>Since the</w:t>
      </w:r>
      <w:r w:rsidR="00F060EB">
        <w:rPr>
          <w:rFonts w:ascii="Arial" w:hAnsi="Arial" w:cs="Arial"/>
          <w:sz w:val="20"/>
          <w:szCs w:val="20"/>
        </w:rPr>
        <w:t xml:space="preserve"> support of the SCG SRB for Option 4 (i.e., NE-DC) has not been discussed so far, i</w:t>
      </w:r>
      <w:r w:rsidR="00DC3144" w:rsidRPr="00BE2894">
        <w:rPr>
          <w:rFonts w:ascii="Arial" w:hAnsi="Arial" w:cs="Arial"/>
          <w:sz w:val="20"/>
          <w:szCs w:val="20"/>
        </w:rPr>
        <w:t xml:space="preserve">n this contribution </w:t>
      </w:r>
      <w:r w:rsidR="00F060EB">
        <w:rPr>
          <w:rFonts w:ascii="Arial" w:hAnsi="Arial" w:cs="Arial"/>
          <w:sz w:val="20"/>
          <w:szCs w:val="20"/>
        </w:rPr>
        <w:t xml:space="preserve">we will discuss </w:t>
      </w:r>
      <w:r w:rsidR="008108BA">
        <w:rPr>
          <w:rFonts w:ascii="Arial" w:hAnsi="Arial" w:cs="Arial"/>
          <w:sz w:val="20"/>
          <w:szCs w:val="20"/>
        </w:rPr>
        <w:t xml:space="preserve">whether SRB3 should be supported for </w:t>
      </w:r>
      <w:r w:rsidR="00F060EB">
        <w:rPr>
          <w:rFonts w:ascii="Arial" w:hAnsi="Arial" w:cs="Arial"/>
          <w:sz w:val="20"/>
          <w:szCs w:val="20"/>
        </w:rPr>
        <w:t>NE-DC</w:t>
      </w:r>
      <w:r w:rsidR="007A5D5C">
        <w:rPr>
          <w:rFonts w:ascii="Arial" w:hAnsi="Arial" w:cs="Arial"/>
          <w:sz w:val="20"/>
          <w:szCs w:val="20"/>
        </w:rPr>
        <w:t>.</w:t>
      </w:r>
      <w:r w:rsidR="00DC3144" w:rsidRPr="00BE2894">
        <w:rPr>
          <w:rFonts w:ascii="Arial" w:hAnsi="Arial" w:cs="Arial"/>
          <w:sz w:val="20"/>
          <w:szCs w:val="20"/>
        </w:rPr>
        <w:t xml:space="preserve"> </w:t>
      </w:r>
    </w:p>
    <w:p w14:paraId="58828DF3" w14:textId="76AA3116" w:rsidR="004000E8" w:rsidRPr="00F23D9D" w:rsidRDefault="004000E8" w:rsidP="00CE0424">
      <w:pPr>
        <w:pStyle w:val="Heading1"/>
      </w:pPr>
      <w:bookmarkStart w:id="0" w:name="_Ref178064866"/>
      <w:r w:rsidRPr="00F23D9D">
        <w:t>Discussion</w:t>
      </w:r>
      <w:bookmarkEnd w:id="0"/>
    </w:p>
    <w:p w14:paraId="559B2D60" w14:textId="253203A0" w:rsidR="00EB0725" w:rsidRPr="00BE2894" w:rsidRDefault="003D291E" w:rsidP="00F23D9D">
      <w:pPr>
        <w:pStyle w:val="BodyText"/>
        <w:jc w:val="both"/>
        <w:rPr>
          <w:rFonts w:ascii="Arial" w:hAnsi="Arial" w:cs="Arial"/>
          <w:sz w:val="20"/>
          <w:szCs w:val="20"/>
        </w:rPr>
      </w:pPr>
      <w:r w:rsidRPr="00BE2894">
        <w:rPr>
          <w:rFonts w:ascii="Arial" w:hAnsi="Arial" w:cs="Arial"/>
          <w:sz w:val="20"/>
          <w:szCs w:val="20"/>
        </w:rPr>
        <w:t>In LTE</w:t>
      </w:r>
      <w:r w:rsidR="001A3EF4">
        <w:rPr>
          <w:rFonts w:ascii="Arial" w:hAnsi="Arial" w:cs="Arial"/>
          <w:sz w:val="20"/>
          <w:szCs w:val="20"/>
        </w:rPr>
        <w:t xml:space="preserve"> DC</w:t>
      </w:r>
      <w:r w:rsidR="0017590F">
        <w:rPr>
          <w:rFonts w:ascii="Arial" w:hAnsi="Arial" w:cs="Arial"/>
          <w:sz w:val="20"/>
          <w:szCs w:val="20"/>
        </w:rPr>
        <w:t xml:space="preserve"> </w:t>
      </w:r>
      <w:r w:rsidR="0017590F">
        <w:rPr>
          <w:rFonts w:ascii="Arial" w:hAnsi="Arial" w:cs="Arial"/>
          <w:sz w:val="20"/>
          <w:szCs w:val="20"/>
        </w:rPr>
        <w:fldChar w:fldCharType="begin"/>
      </w:r>
      <w:r w:rsidR="0017590F">
        <w:rPr>
          <w:rFonts w:ascii="Arial" w:hAnsi="Arial" w:cs="Arial"/>
          <w:sz w:val="20"/>
          <w:szCs w:val="20"/>
        </w:rPr>
        <w:instrText xml:space="preserve"> REF _Ref493080609 \r \h </w:instrText>
      </w:r>
      <w:r w:rsidR="0017590F">
        <w:rPr>
          <w:rFonts w:ascii="Arial" w:hAnsi="Arial" w:cs="Arial"/>
          <w:sz w:val="20"/>
          <w:szCs w:val="20"/>
        </w:rPr>
      </w:r>
      <w:r w:rsidR="0017590F">
        <w:rPr>
          <w:rFonts w:ascii="Arial" w:hAnsi="Arial" w:cs="Arial"/>
          <w:sz w:val="20"/>
          <w:szCs w:val="20"/>
        </w:rPr>
        <w:fldChar w:fldCharType="separate"/>
      </w:r>
      <w:r w:rsidR="0017590F">
        <w:rPr>
          <w:rFonts w:ascii="Arial" w:hAnsi="Arial" w:cs="Arial"/>
          <w:sz w:val="20"/>
          <w:szCs w:val="20"/>
        </w:rPr>
        <w:t>[1]</w:t>
      </w:r>
      <w:r w:rsidR="0017590F">
        <w:rPr>
          <w:rFonts w:ascii="Arial" w:hAnsi="Arial" w:cs="Arial"/>
          <w:sz w:val="20"/>
          <w:szCs w:val="20"/>
        </w:rPr>
        <w:fldChar w:fldCharType="end"/>
      </w:r>
      <w:r w:rsidRPr="00BE2894">
        <w:rPr>
          <w:rFonts w:ascii="Arial" w:hAnsi="Arial" w:cs="Arial"/>
          <w:sz w:val="20"/>
          <w:szCs w:val="20"/>
        </w:rPr>
        <w:t xml:space="preserve">, the RRC entity is located only </w:t>
      </w:r>
      <w:r w:rsidR="001A3EF4">
        <w:rPr>
          <w:rFonts w:ascii="Arial" w:hAnsi="Arial" w:cs="Arial"/>
          <w:sz w:val="20"/>
          <w:szCs w:val="20"/>
        </w:rPr>
        <w:t>at</w:t>
      </w:r>
      <w:r w:rsidRPr="00BE2894">
        <w:rPr>
          <w:rFonts w:ascii="Arial" w:hAnsi="Arial" w:cs="Arial"/>
          <w:sz w:val="20"/>
          <w:szCs w:val="20"/>
        </w:rPr>
        <w:t xml:space="preserve"> the MeNB and UE side</w:t>
      </w:r>
      <w:r w:rsidR="006A26C9">
        <w:rPr>
          <w:rFonts w:ascii="Arial" w:hAnsi="Arial" w:cs="Arial"/>
          <w:sz w:val="20"/>
          <w:szCs w:val="20"/>
        </w:rPr>
        <w:t xml:space="preserve"> (i.e., shown in Figure</w:t>
      </w:r>
      <w:r w:rsidR="00E83EC4">
        <w:rPr>
          <w:rFonts w:ascii="Arial" w:hAnsi="Arial" w:cs="Arial"/>
          <w:sz w:val="20"/>
          <w:szCs w:val="20"/>
        </w:rPr>
        <w:t xml:space="preserve"> 1</w:t>
      </w:r>
      <w:r w:rsidR="006A26C9">
        <w:rPr>
          <w:rFonts w:ascii="Arial" w:hAnsi="Arial" w:cs="Arial"/>
          <w:sz w:val="20"/>
          <w:szCs w:val="20"/>
        </w:rPr>
        <w:t>,</w:t>
      </w:r>
      <w:r w:rsidR="00C417F6" w:rsidRPr="00BE2894">
        <w:rPr>
          <w:rFonts w:ascii="Arial" w:hAnsi="Arial" w:cs="Arial"/>
          <w:sz w:val="20"/>
          <w:szCs w:val="20"/>
        </w:rPr>
        <w:t xml:space="preserve"> left)</w:t>
      </w:r>
      <w:r w:rsidRPr="00BE2894">
        <w:rPr>
          <w:rFonts w:ascii="Arial" w:hAnsi="Arial" w:cs="Arial"/>
          <w:sz w:val="20"/>
          <w:szCs w:val="20"/>
        </w:rPr>
        <w:t xml:space="preserve">. The purpose </w:t>
      </w:r>
      <w:r w:rsidR="00C417F6" w:rsidRPr="00BE2894">
        <w:rPr>
          <w:rFonts w:ascii="Arial" w:hAnsi="Arial" w:cs="Arial"/>
          <w:sz w:val="20"/>
          <w:szCs w:val="20"/>
        </w:rPr>
        <w:t>of</w:t>
      </w:r>
      <w:r w:rsidRPr="00BE2894">
        <w:rPr>
          <w:rFonts w:ascii="Arial" w:hAnsi="Arial" w:cs="Arial"/>
          <w:sz w:val="20"/>
          <w:szCs w:val="20"/>
        </w:rPr>
        <w:t xml:space="preserve"> terminat</w:t>
      </w:r>
      <w:r w:rsidR="00C417F6" w:rsidRPr="00BE2894">
        <w:rPr>
          <w:rFonts w:ascii="Arial" w:hAnsi="Arial" w:cs="Arial"/>
          <w:sz w:val="20"/>
          <w:szCs w:val="20"/>
        </w:rPr>
        <w:t>ing</w:t>
      </w:r>
      <w:r w:rsidRPr="00BE2894">
        <w:rPr>
          <w:rFonts w:ascii="Arial" w:hAnsi="Arial" w:cs="Arial"/>
          <w:sz w:val="20"/>
          <w:szCs w:val="20"/>
        </w:rPr>
        <w:t xml:space="preserve"> the UE RRC connection only at the MeNB was to reduce complexity and </w:t>
      </w:r>
      <w:r w:rsidR="001A3EF4" w:rsidRPr="00BE2894">
        <w:rPr>
          <w:rFonts w:ascii="Arial" w:hAnsi="Arial" w:cs="Arial"/>
          <w:sz w:val="20"/>
          <w:szCs w:val="20"/>
        </w:rPr>
        <w:t>signalling</w:t>
      </w:r>
      <w:r w:rsidRPr="00BE2894">
        <w:rPr>
          <w:rFonts w:ascii="Arial" w:hAnsi="Arial" w:cs="Arial"/>
          <w:sz w:val="20"/>
          <w:szCs w:val="20"/>
        </w:rPr>
        <w:t xml:space="preserve"> overhead. In fact, </w:t>
      </w:r>
      <w:r w:rsidR="001A3EF4">
        <w:rPr>
          <w:rFonts w:ascii="Arial" w:hAnsi="Arial" w:cs="Arial"/>
          <w:sz w:val="20"/>
          <w:szCs w:val="20"/>
        </w:rPr>
        <w:t xml:space="preserve">in </w:t>
      </w:r>
      <w:r w:rsidRPr="00BE2894">
        <w:rPr>
          <w:rFonts w:ascii="Arial" w:hAnsi="Arial" w:cs="Arial"/>
          <w:sz w:val="20"/>
          <w:szCs w:val="20"/>
        </w:rPr>
        <w:t>this case we have a centralized architecture where SeNB delivers RRC configuration</w:t>
      </w:r>
      <w:r w:rsidR="001A3EF4">
        <w:rPr>
          <w:rFonts w:ascii="Arial" w:hAnsi="Arial" w:cs="Arial"/>
          <w:sz w:val="20"/>
          <w:szCs w:val="20"/>
        </w:rPr>
        <w:t>s for the SCG</w:t>
      </w:r>
      <w:r w:rsidRPr="00BE2894">
        <w:rPr>
          <w:rFonts w:ascii="Arial" w:hAnsi="Arial" w:cs="Arial"/>
          <w:sz w:val="20"/>
          <w:szCs w:val="20"/>
        </w:rPr>
        <w:t xml:space="preserve"> to the MeNB through an RRC container </w:t>
      </w:r>
      <w:r w:rsidR="001A3EF4">
        <w:rPr>
          <w:rFonts w:ascii="Arial" w:hAnsi="Arial" w:cs="Arial"/>
          <w:sz w:val="20"/>
          <w:szCs w:val="20"/>
        </w:rPr>
        <w:t>(</w:t>
      </w:r>
      <w:r w:rsidR="001A3EF4">
        <w:rPr>
          <w:rFonts w:ascii="Arial" w:hAnsi="Arial" w:cs="Arial"/>
          <w:i/>
          <w:sz w:val="20"/>
          <w:szCs w:val="20"/>
        </w:rPr>
        <w:t>scg</w:t>
      </w:r>
      <w:r w:rsidR="001A3EF4" w:rsidRPr="001A3EF4">
        <w:rPr>
          <w:rFonts w:ascii="Arial" w:hAnsi="Arial" w:cs="Arial"/>
          <w:i/>
          <w:sz w:val="20"/>
          <w:szCs w:val="20"/>
        </w:rPr>
        <w:t>-config</w:t>
      </w:r>
      <w:r w:rsidR="001A3EF4">
        <w:rPr>
          <w:rFonts w:ascii="Arial" w:hAnsi="Arial" w:cs="Arial"/>
          <w:sz w:val="20"/>
          <w:szCs w:val="20"/>
        </w:rPr>
        <w:t xml:space="preserve">) </w:t>
      </w:r>
      <w:r w:rsidRPr="00BE2894">
        <w:rPr>
          <w:rFonts w:ascii="Arial" w:hAnsi="Arial" w:cs="Arial"/>
          <w:sz w:val="20"/>
          <w:szCs w:val="20"/>
        </w:rPr>
        <w:t xml:space="preserve">and </w:t>
      </w:r>
      <w:r w:rsidR="001A3EF4">
        <w:rPr>
          <w:rFonts w:ascii="Arial" w:hAnsi="Arial" w:cs="Arial"/>
          <w:sz w:val="20"/>
          <w:szCs w:val="20"/>
        </w:rPr>
        <w:t xml:space="preserve">it </w:t>
      </w:r>
      <w:r w:rsidRPr="00BE2894">
        <w:rPr>
          <w:rFonts w:ascii="Arial" w:hAnsi="Arial" w:cs="Arial"/>
          <w:sz w:val="20"/>
          <w:szCs w:val="20"/>
        </w:rPr>
        <w:t xml:space="preserve">is this latter node that makes </w:t>
      </w:r>
      <w:r w:rsidR="001A3EF4">
        <w:rPr>
          <w:rFonts w:ascii="Arial" w:hAnsi="Arial" w:cs="Arial"/>
          <w:sz w:val="20"/>
          <w:szCs w:val="20"/>
        </w:rPr>
        <w:t xml:space="preserve">the </w:t>
      </w:r>
      <w:r w:rsidRPr="00BE2894">
        <w:rPr>
          <w:rFonts w:ascii="Arial" w:hAnsi="Arial" w:cs="Arial"/>
          <w:sz w:val="20"/>
          <w:szCs w:val="20"/>
        </w:rPr>
        <w:t xml:space="preserve">final decision and constructs the eventual RRC configuration message </w:t>
      </w:r>
      <w:r w:rsidR="001A3EF4">
        <w:rPr>
          <w:rFonts w:ascii="Arial" w:hAnsi="Arial" w:cs="Arial"/>
          <w:sz w:val="20"/>
          <w:szCs w:val="20"/>
        </w:rPr>
        <w:t>that is transmitted</w:t>
      </w:r>
      <w:r w:rsidRPr="00BE2894">
        <w:rPr>
          <w:rFonts w:ascii="Arial" w:hAnsi="Arial" w:cs="Arial"/>
          <w:sz w:val="20"/>
          <w:szCs w:val="20"/>
        </w:rPr>
        <w:t xml:space="preserve"> to the UE.</w:t>
      </w:r>
    </w:p>
    <w:p w14:paraId="5FBDDD48" w14:textId="4CED9B85" w:rsidR="00DC3144" w:rsidRPr="00BE2894" w:rsidRDefault="00F048AE" w:rsidP="00F23D9D">
      <w:pPr>
        <w:pStyle w:val="BodyText"/>
        <w:jc w:val="both"/>
        <w:rPr>
          <w:rFonts w:ascii="Arial" w:hAnsi="Arial" w:cs="Arial"/>
          <w:sz w:val="20"/>
          <w:szCs w:val="20"/>
        </w:rPr>
      </w:pPr>
      <w:r w:rsidRPr="00BE2894">
        <w:rPr>
          <w:rFonts w:ascii="Arial" w:hAnsi="Arial" w:cs="Arial"/>
          <w:sz w:val="20"/>
          <w:szCs w:val="20"/>
        </w:rPr>
        <w:t xml:space="preserve">However, </w:t>
      </w:r>
      <w:r w:rsidR="00F23D9D" w:rsidRPr="00BE2894">
        <w:rPr>
          <w:rFonts w:ascii="Arial" w:hAnsi="Arial" w:cs="Arial"/>
          <w:sz w:val="20"/>
          <w:szCs w:val="20"/>
        </w:rPr>
        <w:t>when it comes to the EN-DC</w:t>
      </w:r>
      <w:r w:rsidR="00157F4C" w:rsidRPr="00BE2894">
        <w:rPr>
          <w:rFonts w:ascii="Arial" w:hAnsi="Arial" w:cs="Arial"/>
          <w:sz w:val="20"/>
          <w:szCs w:val="20"/>
        </w:rPr>
        <w:t>, in the RAN2 #97</w:t>
      </w:r>
      <w:r w:rsidR="00F23D9D" w:rsidRPr="00BE2894">
        <w:rPr>
          <w:rFonts w:ascii="Arial" w:hAnsi="Arial" w:cs="Arial"/>
          <w:sz w:val="20"/>
          <w:szCs w:val="20"/>
        </w:rPr>
        <w:t>bis meeting it was agreed that direct RRC messages between NR (as secondary node) and the UE are supported (i.e., Figure 1</w:t>
      </w:r>
      <w:r w:rsidR="006A26C9">
        <w:rPr>
          <w:rFonts w:ascii="Arial" w:hAnsi="Arial" w:cs="Arial"/>
          <w:sz w:val="20"/>
          <w:szCs w:val="20"/>
        </w:rPr>
        <w:t>,</w:t>
      </w:r>
      <w:r w:rsidR="00F23D9D" w:rsidRPr="00BE2894">
        <w:rPr>
          <w:rFonts w:ascii="Arial" w:hAnsi="Arial" w:cs="Arial"/>
          <w:sz w:val="20"/>
          <w:szCs w:val="20"/>
        </w:rPr>
        <w:t xml:space="preserve"> right). Further, it was agreed to </w:t>
      </w:r>
      <w:r w:rsidR="001A3EF4">
        <w:rPr>
          <w:rFonts w:ascii="Arial" w:hAnsi="Arial" w:cs="Arial"/>
          <w:sz w:val="20"/>
          <w:szCs w:val="20"/>
        </w:rPr>
        <w:t xml:space="preserve">support the possibility of </w:t>
      </w:r>
      <w:r w:rsidR="00F23D9D" w:rsidRPr="00BE2894">
        <w:rPr>
          <w:rFonts w:ascii="Arial" w:hAnsi="Arial" w:cs="Arial"/>
          <w:sz w:val="20"/>
          <w:szCs w:val="20"/>
        </w:rPr>
        <w:t>send</w:t>
      </w:r>
      <w:r w:rsidR="001A3EF4">
        <w:rPr>
          <w:rFonts w:ascii="Arial" w:hAnsi="Arial" w:cs="Arial"/>
          <w:sz w:val="20"/>
          <w:szCs w:val="20"/>
        </w:rPr>
        <w:t>ing</w:t>
      </w:r>
      <w:r w:rsidR="00F23D9D" w:rsidRPr="00BE2894">
        <w:rPr>
          <w:rFonts w:ascii="Arial" w:hAnsi="Arial" w:cs="Arial"/>
          <w:sz w:val="20"/>
          <w:szCs w:val="20"/>
        </w:rPr>
        <w:t xml:space="preserve"> those messages on a separate SRB (i.e., SCG SRB</w:t>
      </w:r>
      <w:r w:rsidR="006A26C9">
        <w:rPr>
          <w:rFonts w:ascii="Arial" w:hAnsi="Arial" w:cs="Arial"/>
          <w:sz w:val="20"/>
          <w:szCs w:val="20"/>
        </w:rPr>
        <w:t>, later renamed SRB3</w:t>
      </w:r>
      <w:r w:rsidR="00F23D9D" w:rsidRPr="00BE2894">
        <w:rPr>
          <w:rFonts w:ascii="Arial" w:hAnsi="Arial" w:cs="Arial"/>
          <w:sz w:val="20"/>
          <w:szCs w:val="20"/>
        </w:rPr>
        <w:t xml:space="preserve">). The motivation for having a direct SRB between NR and the UE for EN-DC is </w:t>
      </w:r>
      <w:r w:rsidR="001A3EF4">
        <w:rPr>
          <w:rFonts w:ascii="Arial" w:hAnsi="Arial" w:cs="Arial"/>
          <w:sz w:val="20"/>
          <w:szCs w:val="20"/>
        </w:rPr>
        <w:t xml:space="preserve">due to the anticipated </w:t>
      </w:r>
      <w:r w:rsidR="00F23D9D" w:rsidRPr="00BE2894">
        <w:rPr>
          <w:rFonts w:ascii="Arial" w:hAnsi="Arial" w:cs="Arial"/>
          <w:sz w:val="20"/>
          <w:szCs w:val="20"/>
        </w:rPr>
        <w:t xml:space="preserve">benefits that this could bring in terms of </w:t>
      </w:r>
      <w:r w:rsidR="004178FE" w:rsidRPr="00BE2894">
        <w:rPr>
          <w:rFonts w:ascii="Arial" w:hAnsi="Arial" w:cs="Arial"/>
          <w:sz w:val="20"/>
          <w:szCs w:val="20"/>
        </w:rPr>
        <w:t>latency</w:t>
      </w:r>
      <w:r w:rsidR="00F23D9D" w:rsidRPr="00BE2894">
        <w:rPr>
          <w:rFonts w:ascii="Arial" w:hAnsi="Arial" w:cs="Arial"/>
          <w:sz w:val="20"/>
          <w:szCs w:val="20"/>
        </w:rPr>
        <w:t xml:space="preserve"> </w:t>
      </w:r>
      <w:r w:rsidR="004178FE" w:rsidRPr="00BE2894">
        <w:rPr>
          <w:rFonts w:ascii="Arial" w:hAnsi="Arial" w:cs="Arial"/>
          <w:sz w:val="20"/>
          <w:szCs w:val="20"/>
        </w:rPr>
        <w:t>for</w:t>
      </w:r>
      <w:r w:rsidR="00F23D9D" w:rsidRPr="00BE2894">
        <w:rPr>
          <w:rFonts w:ascii="Arial" w:hAnsi="Arial" w:cs="Arial"/>
          <w:sz w:val="20"/>
          <w:szCs w:val="20"/>
        </w:rPr>
        <w:t xml:space="preserve"> some RRC procedure</w:t>
      </w:r>
      <w:r w:rsidR="001754B7" w:rsidRPr="00BE2894">
        <w:rPr>
          <w:rFonts w:ascii="Arial" w:hAnsi="Arial" w:cs="Arial"/>
          <w:sz w:val="20"/>
          <w:szCs w:val="20"/>
        </w:rPr>
        <w:t>s</w:t>
      </w:r>
      <w:r w:rsidR="00ED2130">
        <w:rPr>
          <w:rFonts w:ascii="Arial" w:hAnsi="Arial" w:cs="Arial"/>
          <w:sz w:val="20"/>
          <w:szCs w:val="20"/>
        </w:rPr>
        <w:t xml:space="preserve"> (e.g., measurement report sent</w:t>
      </w:r>
      <w:r w:rsidR="004178FE" w:rsidRPr="00BE2894">
        <w:rPr>
          <w:rFonts w:ascii="Arial" w:hAnsi="Arial" w:cs="Arial"/>
          <w:sz w:val="20"/>
          <w:szCs w:val="20"/>
        </w:rPr>
        <w:t xml:space="preserve"> directly from UE to the </w:t>
      </w:r>
      <w:r w:rsidR="001A3EF4">
        <w:rPr>
          <w:rFonts w:ascii="Arial" w:hAnsi="Arial" w:cs="Arial"/>
          <w:sz w:val="20"/>
          <w:szCs w:val="20"/>
        </w:rPr>
        <w:t>SN</w:t>
      </w:r>
      <w:r w:rsidR="004178FE" w:rsidRPr="00BE2894">
        <w:rPr>
          <w:rFonts w:ascii="Arial" w:hAnsi="Arial" w:cs="Arial"/>
          <w:sz w:val="20"/>
          <w:szCs w:val="20"/>
        </w:rPr>
        <w:t>)</w:t>
      </w:r>
      <w:r w:rsidR="00F23D9D" w:rsidRPr="00BE2894">
        <w:rPr>
          <w:rFonts w:ascii="Arial" w:hAnsi="Arial" w:cs="Arial"/>
          <w:sz w:val="20"/>
          <w:szCs w:val="20"/>
        </w:rPr>
        <w:t>.</w:t>
      </w:r>
    </w:p>
    <w:p w14:paraId="0FD347F4" w14:textId="4A17A2D4" w:rsidR="00C417F6" w:rsidRPr="00F23D9D" w:rsidRDefault="00AD5147" w:rsidP="00C417F6">
      <w:pPr>
        <w:pStyle w:val="BodyText"/>
        <w:keepNext/>
        <w:ind w:left="720"/>
        <w:jc w:val="center"/>
        <w:rPr>
          <w:rFonts w:ascii="Arial" w:hAnsi="Arial" w:cs="Arial"/>
        </w:rPr>
      </w:pPr>
      <w:r w:rsidRPr="00F23D9D">
        <w:rPr>
          <w:rFonts w:ascii="Arial" w:hAnsi="Arial" w:cs="Arial"/>
        </w:rPr>
        <w:object w:dxaOrig="5226" w:dyaOrig="3880" w14:anchorId="48C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93.5pt" o:ole="">
            <v:imagedata r:id="rId14" o:title=""/>
          </v:shape>
          <o:OLEObject Type="Embed" ProgID="Visio.Drawing.15" ShapeID="_x0000_i1025" DrawAspect="Content" ObjectID="_1584474245" r:id="rId15"/>
        </w:object>
      </w:r>
    </w:p>
    <w:p w14:paraId="377C1DA7" w14:textId="72F2D47A" w:rsidR="00C417F6" w:rsidRPr="00BE2894" w:rsidRDefault="00C417F6" w:rsidP="00C417F6">
      <w:pPr>
        <w:pStyle w:val="Caption"/>
        <w:rPr>
          <w:rFonts w:ascii="Arial" w:hAnsi="Arial" w:cs="Arial"/>
          <w:sz w:val="20"/>
          <w:szCs w:val="20"/>
        </w:rPr>
      </w:pPr>
      <w:r w:rsidRPr="00BE2894">
        <w:rPr>
          <w:rFonts w:ascii="Arial" w:hAnsi="Arial" w:cs="Arial"/>
          <w:sz w:val="20"/>
          <w:szCs w:val="20"/>
        </w:rPr>
        <w:t xml:space="preserve">Figure </w:t>
      </w:r>
      <w:r w:rsidRPr="00F23D9D">
        <w:rPr>
          <w:rFonts w:ascii="Arial" w:hAnsi="Arial" w:cs="Arial"/>
          <w:sz w:val="20"/>
          <w:szCs w:val="20"/>
        </w:rPr>
        <w:fldChar w:fldCharType="begin"/>
      </w:r>
      <w:r w:rsidRPr="00BE2894">
        <w:rPr>
          <w:rFonts w:ascii="Arial" w:hAnsi="Arial" w:cs="Arial"/>
          <w:sz w:val="20"/>
          <w:szCs w:val="20"/>
        </w:rPr>
        <w:instrText xml:space="preserve"> SEQ Figure \* ARABIC </w:instrText>
      </w:r>
      <w:r w:rsidRPr="00F23D9D">
        <w:rPr>
          <w:rFonts w:ascii="Arial" w:hAnsi="Arial" w:cs="Arial"/>
          <w:sz w:val="20"/>
          <w:szCs w:val="20"/>
        </w:rPr>
        <w:fldChar w:fldCharType="separate"/>
      </w:r>
      <w:r w:rsidRPr="00BE2894">
        <w:rPr>
          <w:rFonts w:ascii="Arial" w:hAnsi="Arial" w:cs="Arial"/>
          <w:noProof/>
          <w:sz w:val="20"/>
          <w:szCs w:val="20"/>
        </w:rPr>
        <w:t>1</w:t>
      </w:r>
      <w:r w:rsidRPr="00F23D9D">
        <w:rPr>
          <w:rFonts w:ascii="Arial" w:hAnsi="Arial" w:cs="Arial"/>
          <w:sz w:val="20"/>
          <w:szCs w:val="20"/>
        </w:rPr>
        <w:fldChar w:fldCharType="end"/>
      </w:r>
      <w:r w:rsidRPr="00BE2894">
        <w:rPr>
          <w:rFonts w:ascii="Arial" w:hAnsi="Arial" w:cs="Arial"/>
          <w:sz w:val="20"/>
          <w:szCs w:val="20"/>
        </w:rPr>
        <w:t xml:space="preserve"> </w:t>
      </w:r>
      <w:r w:rsidRPr="00BE2894">
        <w:rPr>
          <w:rFonts w:ascii="Arial" w:hAnsi="Arial" w:cs="Arial"/>
          <w:b w:val="0"/>
          <w:sz w:val="20"/>
          <w:szCs w:val="20"/>
        </w:rPr>
        <w:t>C-plane architecture for Dual Connectivity in LTE DC and EN-DC</w:t>
      </w:r>
    </w:p>
    <w:p w14:paraId="3580E318" w14:textId="35CDF3F7" w:rsidR="00112E06" w:rsidRDefault="0050613A" w:rsidP="00440D80">
      <w:pPr>
        <w:pStyle w:val="BodyText"/>
        <w:jc w:val="both"/>
        <w:rPr>
          <w:rFonts w:ascii="Arial" w:hAnsi="Arial" w:cs="Arial"/>
          <w:sz w:val="20"/>
          <w:szCs w:val="20"/>
          <w:lang w:eastAsia="zh-CN"/>
        </w:rPr>
      </w:pPr>
      <w:r w:rsidRPr="0050613A">
        <w:rPr>
          <w:rFonts w:ascii="Arial" w:hAnsi="Arial" w:cs="Arial"/>
          <w:sz w:val="20"/>
          <w:szCs w:val="20"/>
          <w:lang w:eastAsia="zh-CN"/>
        </w:rPr>
        <w:t xml:space="preserve">Even if for </w:t>
      </w:r>
      <w:r w:rsidR="008B0923">
        <w:rPr>
          <w:rFonts w:ascii="Arial" w:hAnsi="Arial" w:cs="Arial"/>
          <w:sz w:val="20"/>
          <w:szCs w:val="20"/>
          <w:lang w:eastAsia="zh-CN"/>
        </w:rPr>
        <w:t>EN</w:t>
      </w:r>
      <w:r w:rsidRPr="0050613A">
        <w:rPr>
          <w:rFonts w:ascii="Arial" w:hAnsi="Arial" w:cs="Arial"/>
          <w:sz w:val="20"/>
          <w:szCs w:val="20"/>
          <w:lang w:eastAsia="zh-CN"/>
        </w:rPr>
        <w:t xml:space="preserve">-DC it </w:t>
      </w:r>
      <w:r w:rsidR="00FF5370">
        <w:rPr>
          <w:rFonts w:ascii="Arial" w:hAnsi="Arial" w:cs="Arial"/>
          <w:sz w:val="20"/>
          <w:szCs w:val="20"/>
          <w:lang w:eastAsia="zh-CN"/>
        </w:rPr>
        <w:t>c</w:t>
      </w:r>
      <w:r w:rsidRPr="0050613A">
        <w:rPr>
          <w:rFonts w:ascii="Arial" w:hAnsi="Arial" w:cs="Arial"/>
          <w:sz w:val="20"/>
          <w:szCs w:val="20"/>
          <w:lang w:eastAsia="zh-CN"/>
        </w:rPr>
        <w:t>ould make sense</w:t>
      </w:r>
      <w:r w:rsidR="00FF5370">
        <w:rPr>
          <w:rFonts w:ascii="Arial" w:hAnsi="Arial" w:cs="Arial"/>
          <w:sz w:val="20"/>
          <w:szCs w:val="20"/>
          <w:lang w:eastAsia="zh-CN"/>
        </w:rPr>
        <w:t xml:space="preserve"> in</w:t>
      </w:r>
      <w:r w:rsidR="009E38F0">
        <w:rPr>
          <w:rFonts w:ascii="Arial" w:hAnsi="Arial" w:cs="Arial"/>
          <w:sz w:val="20"/>
          <w:szCs w:val="20"/>
          <w:lang w:eastAsia="zh-CN"/>
        </w:rPr>
        <w:t xml:space="preserve"> some</w:t>
      </w:r>
      <w:r w:rsidRPr="0050613A">
        <w:rPr>
          <w:rFonts w:ascii="Arial" w:hAnsi="Arial" w:cs="Arial"/>
          <w:sz w:val="20"/>
          <w:szCs w:val="20"/>
          <w:lang w:eastAsia="zh-CN"/>
        </w:rPr>
        <w:t xml:space="preserve"> case</w:t>
      </w:r>
      <w:r>
        <w:rPr>
          <w:rFonts w:ascii="Arial" w:hAnsi="Arial" w:cs="Arial"/>
          <w:sz w:val="20"/>
          <w:szCs w:val="20"/>
          <w:lang w:eastAsia="zh-CN"/>
        </w:rPr>
        <w:t xml:space="preserve">s </w:t>
      </w:r>
      <w:r w:rsidRPr="0050613A">
        <w:rPr>
          <w:rFonts w:ascii="Arial" w:hAnsi="Arial" w:cs="Arial"/>
          <w:sz w:val="20"/>
          <w:szCs w:val="20"/>
          <w:lang w:eastAsia="zh-CN"/>
        </w:rPr>
        <w:t xml:space="preserve">to </w:t>
      </w:r>
      <w:r>
        <w:rPr>
          <w:rFonts w:ascii="Arial" w:hAnsi="Arial" w:cs="Arial"/>
          <w:sz w:val="20"/>
          <w:szCs w:val="20"/>
          <w:lang w:eastAsia="zh-CN"/>
        </w:rPr>
        <w:t>configure the SRB3</w:t>
      </w:r>
      <w:r w:rsidR="00E13C00">
        <w:rPr>
          <w:rFonts w:ascii="Arial" w:hAnsi="Arial" w:cs="Arial"/>
          <w:sz w:val="20"/>
          <w:szCs w:val="20"/>
          <w:lang w:eastAsia="zh-CN"/>
        </w:rPr>
        <w:t xml:space="preserve"> e.g., to improve NR mobility performance in high-frequency deployments</w:t>
      </w:r>
      <w:r>
        <w:rPr>
          <w:rFonts w:ascii="Arial" w:hAnsi="Arial" w:cs="Arial"/>
          <w:sz w:val="20"/>
          <w:szCs w:val="20"/>
          <w:lang w:eastAsia="zh-CN"/>
        </w:rPr>
        <w:t>, this does not imply t</w:t>
      </w:r>
      <w:r w:rsidR="00044F93">
        <w:rPr>
          <w:rFonts w:ascii="Arial" w:hAnsi="Arial" w:cs="Arial"/>
          <w:sz w:val="20"/>
          <w:szCs w:val="20"/>
          <w:lang w:eastAsia="zh-CN"/>
        </w:rPr>
        <w:t xml:space="preserve">hat for all the MR-DC cases should be the same. In fact, </w:t>
      </w:r>
      <w:r w:rsidR="00B82245">
        <w:rPr>
          <w:rFonts w:ascii="Arial" w:hAnsi="Arial" w:cs="Arial"/>
          <w:sz w:val="20"/>
          <w:szCs w:val="20"/>
          <w:lang w:eastAsia="zh-CN"/>
        </w:rPr>
        <w:t xml:space="preserve">in case of NE-DC the well-known gains for having the SRB3 are not so evident in case when LTE is used at the SN. First of all, assuming that LTE will work on low numerologies, the latencies over the </w:t>
      </w:r>
      <w:r w:rsidR="00B82245">
        <w:rPr>
          <w:rFonts w:ascii="Arial" w:hAnsi="Arial" w:cs="Arial"/>
          <w:sz w:val="20"/>
          <w:szCs w:val="20"/>
          <w:lang w:eastAsia="zh-CN"/>
        </w:rPr>
        <w:lastRenderedPageBreak/>
        <w:t xml:space="preserve">LTE </w:t>
      </w:r>
      <w:r w:rsidR="0066431C">
        <w:rPr>
          <w:rFonts w:ascii="Arial" w:hAnsi="Arial" w:cs="Arial"/>
          <w:sz w:val="20"/>
          <w:szCs w:val="20"/>
          <w:lang w:eastAsia="zh-CN"/>
        </w:rPr>
        <w:t xml:space="preserve">air </w:t>
      </w:r>
      <w:r w:rsidR="00B82245">
        <w:rPr>
          <w:rFonts w:ascii="Arial" w:hAnsi="Arial" w:cs="Arial"/>
          <w:sz w:val="20"/>
          <w:szCs w:val="20"/>
          <w:lang w:eastAsia="zh-CN"/>
        </w:rPr>
        <w:t xml:space="preserve">interface would be much </w:t>
      </w:r>
      <w:r w:rsidR="005B4A9A">
        <w:rPr>
          <w:rFonts w:ascii="Arial" w:hAnsi="Arial" w:cs="Arial"/>
          <w:sz w:val="20"/>
          <w:szCs w:val="20"/>
          <w:lang w:eastAsia="zh-CN"/>
        </w:rPr>
        <w:t xml:space="preserve">higher </w:t>
      </w:r>
      <w:r w:rsidR="00B82245">
        <w:rPr>
          <w:rFonts w:ascii="Arial" w:hAnsi="Arial" w:cs="Arial"/>
          <w:sz w:val="20"/>
          <w:szCs w:val="20"/>
          <w:lang w:eastAsia="zh-CN"/>
        </w:rPr>
        <w:t>than the one of NR (deployed in the MN)</w:t>
      </w:r>
      <w:r w:rsidR="00440D80">
        <w:rPr>
          <w:rFonts w:ascii="Arial" w:hAnsi="Arial" w:cs="Arial"/>
          <w:sz w:val="20"/>
          <w:szCs w:val="20"/>
          <w:lang w:eastAsia="zh-CN"/>
        </w:rPr>
        <w:t xml:space="preserve">. A further concern for </w:t>
      </w:r>
      <w:r w:rsidR="00180720">
        <w:rPr>
          <w:rFonts w:ascii="Arial" w:hAnsi="Arial" w:cs="Arial"/>
          <w:sz w:val="20"/>
          <w:szCs w:val="20"/>
          <w:lang w:eastAsia="zh-CN"/>
        </w:rPr>
        <w:t>having the SRB3 in NE-DC is that the LTE RRC specification (i.e., 3GPP TS 36.331) does not support, at the moment, a SCG SRB over LTE.</w:t>
      </w:r>
      <w:r w:rsidR="007362D0">
        <w:rPr>
          <w:rFonts w:ascii="Arial" w:hAnsi="Arial" w:cs="Arial"/>
          <w:sz w:val="20"/>
          <w:szCs w:val="20"/>
          <w:lang w:eastAsia="zh-CN"/>
        </w:rPr>
        <w:t xml:space="preserve"> Therefore, this would imply additional effort in the standardization that are not necessary for the time being</w:t>
      </w:r>
      <w:r w:rsidR="009B70B4">
        <w:rPr>
          <w:rFonts w:ascii="Arial" w:hAnsi="Arial" w:cs="Arial"/>
          <w:sz w:val="20"/>
          <w:szCs w:val="20"/>
          <w:lang w:eastAsia="zh-CN"/>
        </w:rPr>
        <w:t xml:space="preserve"> (i.e., at least in Release 15)</w:t>
      </w:r>
      <w:r w:rsidR="007362D0">
        <w:rPr>
          <w:rFonts w:ascii="Arial" w:hAnsi="Arial" w:cs="Arial"/>
          <w:sz w:val="20"/>
          <w:szCs w:val="20"/>
          <w:lang w:eastAsia="zh-CN"/>
        </w:rPr>
        <w:t>.</w:t>
      </w:r>
    </w:p>
    <w:p w14:paraId="57B52E3E" w14:textId="5C14A703" w:rsidR="009B70B4" w:rsidRPr="009B0193" w:rsidRDefault="009B70B4" w:rsidP="009B70B4">
      <w:pPr>
        <w:pStyle w:val="Observation"/>
        <w:rPr>
          <w:rFonts w:ascii="Arial" w:hAnsi="Arial" w:cs="Arial"/>
          <w:sz w:val="20"/>
          <w:szCs w:val="20"/>
          <w:lang w:eastAsia="zh-CN"/>
        </w:rPr>
      </w:pPr>
      <w:r w:rsidRPr="009B0193">
        <w:rPr>
          <w:rFonts w:ascii="Arial" w:hAnsi="Arial" w:cs="Arial"/>
          <w:sz w:val="20"/>
          <w:szCs w:val="20"/>
          <w:lang w:eastAsia="zh-CN"/>
        </w:rPr>
        <w:t xml:space="preserve">Assuming that LTE will work on low numerologies in case of NE-DC, the latencies over the LTE </w:t>
      </w:r>
      <w:r w:rsidR="00EA3BD1">
        <w:rPr>
          <w:rFonts w:ascii="Arial" w:hAnsi="Arial" w:cs="Arial"/>
          <w:sz w:val="20"/>
          <w:szCs w:val="20"/>
          <w:lang w:eastAsia="zh-CN"/>
        </w:rPr>
        <w:t xml:space="preserve">air </w:t>
      </w:r>
      <w:r w:rsidRPr="009B0193">
        <w:rPr>
          <w:rFonts w:ascii="Arial" w:hAnsi="Arial" w:cs="Arial"/>
          <w:sz w:val="20"/>
          <w:szCs w:val="20"/>
          <w:lang w:eastAsia="zh-CN"/>
        </w:rPr>
        <w:t xml:space="preserve">interface (at the SN) would be </w:t>
      </w:r>
      <w:r w:rsidR="00CA2088">
        <w:rPr>
          <w:rFonts w:ascii="Arial" w:hAnsi="Arial" w:cs="Arial"/>
          <w:sz w:val="20"/>
          <w:szCs w:val="20"/>
          <w:lang w:eastAsia="zh-CN"/>
        </w:rPr>
        <w:t>higher</w:t>
      </w:r>
      <w:r w:rsidR="00CA2088" w:rsidRPr="009B0193">
        <w:rPr>
          <w:rFonts w:ascii="Arial" w:hAnsi="Arial" w:cs="Arial"/>
          <w:sz w:val="20"/>
          <w:szCs w:val="20"/>
          <w:lang w:eastAsia="zh-CN"/>
        </w:rPr>
        <w:t xml:space="preserve"> </w:t>
      </w:r>
      <w:r w:rsidRPr="009B0193">
        <w:rPr>
          <w:rFonts w:ascii="Arial" w:hAnsi="Arial" w:cs="Arial"/>
          <w:sz w:val="20"/>
          <w:szCs w:val="20"/>
          <w:lang w:eastAsia="zh-CN"/>
        </w:rPr>
        <w:t>than the one of NR (deployed in the MN).</w:t>
      </w:r>
    </w:p>
    <w:p w14:paraId="72AB2920" w14:textId="3AAEEB83" w:rsidR="00095F3F" w:rsidRPr="009B0193" w:rsidRDefault="00095F3F" w:rsidP="00095F3F">
      <w:pPr>
        <w:pStyle w:val="BodyText"/>
        <w:rPr>
          <w:rFonts w:ascii="Arial" w:hAnsi="Arial" w:cs="Arial"/>
          <w:sz w:val="20"/>
          <w:szCs w:val="20"/>
          <w:lang w:eastAsia="zh-CN"/>
        </w:rPr>
      </w:pPr>
      <w:r w:rsidRPr="009B0193">
        <w:rPr>
          <w:rFonts w:ascii="Arial" w:hAnsi="Arial" w:cs="Arial"/>
          <w:sz w:val="20"/>
          <w:szCs w:val="20"/>
          <w:lang w:eastAsia="zh-CN"/>
        </w:rPr>
        <w:t xml:space="preserve">Based </w:t>
      </w:r>
      <w:r w:rsidR="00642AB3" w:rsidRPr="009B0193">
        <w:rPr>
          <w:rFonts w:ascii="Arial" w:hAnsi="Arial" w:cs="Arial"/>
          <w:sz w:val="20"/>
          <w:szCs w:val="20"/>
          <w:lang w:eastAsia="zh-CN"/>
        </w:rPr>
        <w:t xml:space="preserve">on </w:t>
      </w:r>
      <w:r w:rsidRPr="009B0193">
        <w:rPr>
          <w:rFonts w:ascii="Arial" w:hAnsi="Arial" w:cs="Arial"/>
          <w:sz w:val="20"/>
          <w:szCs w:val="20"/>
          <w:lang w:eastAsia="zh-CN"/>
        </w:rPr>
        <w:t xml:space="preserve">the aforementioned reason, it is straightforward to </w:t>
      </w:r>
      <w:r w:rsidR="00B309AD" w:rsidRPr="009B0193">
        <w:rPr>
          <w:rFonts w:ascii="Arial" w:hAnsi="Arial" w:cs="Arial"/>
          <w:sz w:val="20"/>
          <w:szCs w:val="20"/>
          <w:lang w:eastAsia="zh-CN"/>
        </w:rPr>
        <w:t>not have the support of SRB3 for the NE-DC control plane architecture. Thus, we propose:</w:t>
      </w:r>
    </w:p>
    <w:p w14:paraId="3C158EC7" w14:textId="2814EDB0" w:rsidR="00B309AD" w:rsidRPr="009B0193" w:rsidRDefault="00B309AD" w:rsidP="00B309AD">
      <w:pPr>
        <w:pStyle w:val="Proposal"/>
        <w:rPr>
          <w:rFonts w:ascii="Arial" w:hAnsi="Arial" w:cs="Arial"/>
          <w:sz w:val="20"/>
          <w:szCs w:val="20"/>
          <w:lang w:eastAsia="zh-CN"/>
        </w:rPr>
      </w:pPr>
      <w:r w:rsidRPr="009B0193">
        <w:rPr>
          <w:rFonts w:ascii="Arial" w:hAnsi="Arial" w:cs="Arial"/>
          <w:sz w:val="20"/>
          <w:szCs w:val="20"/>
          <w:lang w:eastAsia="zh-CN"/>
        </w:rPr>
        <w:t>SRB3 for NE-DC is not supported.</w:t>
      </w:r>
    </w:p>
    <w:p w14:paraId="361F2353" w14:textId="77777777" w:rsidR="00C01F33" w:rsidRPr="00F23D9D" w:rsidRDefault="00C01F33" w:rsidP="00CE0424">
      <w:pPr>
        <w:pStyle w:val="Heading1"/>
      </w:pPr>
      <w:r w:rsidRPr="00F23D9D">
        <w:t>Conclusion</w:t>
      </w:r>
    </w:p>
    <w:p w14:paraId="769316CD" w14:textId="5BFAEA45" w:rsidR="009B0193" w:rsidRDefault="008E065E" w:rsidP="009B0193">
      <w:pPr>
        <w:pStyle w:val="BodyText"/>
        <w:jc w:val="both"/>
        <w:rPr>
          <w:rFonts w:ascii="Arial" w:hAnsi="Arial" w:cs="Arial"/>
          <w:sz w:val="20"/>
          <w:szCs w:val="20"/>
        </w:rPr>
      </w:pPr>
      <w:r w:rsidRPr="00BE2894">
        <w:rPr>
          <w:rFonts w:ascii="Arial" w:hAnsi="Arial" w:cs="Arial"/>
          <w:sz w:val="20"/>
          <w:szCs w:val="20"/>
        </w:rPr>
        <w:t xml:space="preserve">In section </w:t>
      </w:r>
      <w:r w:rsidRPr="00F23D9D">
        <w:rPr>
          <w:rFonts w:ascii="Arial" w:hAnsi="Arial" w:cs="Arial"/>
          <w:sz w:val="20"/>
          <w:szCs w:val="20"/>
          <w:highlight w:val="cyan"/>
        </w:rPr>
        <w:fldChar w:fldCharType="begin"/>
      </w:r>
      <w:r w:rsidRPr="00D569F9">
        <w:rPr>
          <w:rFonts w:ascii="Arial" w:hAnsi="Arial" w:cs="Arial"/>
          <w:sz w:val="20"/>
          <w:szCs w:val="20"/>
        </w:rPr>
        <w:instrText xml:space="preserve"> REF _Ref178064866 \r \h </w:instrText>
      </w:r>
      <w:r w:rsidR="00F23D9D" w:rsidRPr="00D569F9">
        <w:rPr>
          <w:rFonts w:ascii="Arial" w:hAnsi="Arial" w:cs="Arial"/>
          <w:sz w:val="20"/>
          <w:szCs w:val="20"/>
          <w:highlight w:val="cyan"/>
        </w:rPr>
        <w:instrText xml:space="preserve"> \* MERGEFORMAT </w:instrText>
      </w:r>
      <w:r w:rsidRPr="00F23D9D">
        <w:rPr>
          <w:rFonts w:ascii="Arial" w:hAnsi="Arial" w:cs="Arial"/>
          <w:sz w:val="20"/>
          <w:szCs w:val="20"/>
          <w:highlight w:val="cyan"/>
        </w:rPr>
      </w:r>
      <w:r w:rsidRPr="00F23D9D">
        <w:rPr>
          <w:rFonts w:ascii="Arial" w:hAnsi="Arial" w:cs="Arial"/>
          <w:sz w:val="20"/>
          <w:szCs w:val="20"/>
          <w:highlight w:val="cyan"/>
        </w:rPr>
        <w:fldChar w:fldCharType="separate"/>
      </w:r>
      <w:r w:rsidR="004D1BFD" w:rsidRPr="00BE2894">
        <w:rPr>
          <w:rFonts w:ascii="Arial" w:hAnsi="Arial" w:cs="Arial"/>
          <w:sz w:val="20"/>
          <w:szCs w:val="20"/>
        </w:rPr>
        <w:t>2</w:t>
      </w:r>
      <w:r w:rsidRPr="00F23D9D">
        <w:rPr>
          <w:rFonts w:ascii="Arial" w:hAnsi="Arial" w:cs="Arial"/>
          <w:sz w:val="20"/>
          <w:szCs w:val="20"/>
          <w:highlight w:val="cyan"/>
        </w:rPr>
        <w:fldChar w:fldCharType="end"/>
      </w:r>
      <w:r w:rsidRPr="00BE2894">
        <w:rPr>
          <w:rFonts w:ascii="Arial" w:hAnsi="Arial" w:cs="Arial"/>
          <w:sz w:val="20"/>
          <w:szCs w:val="20"/>
        </w:rPr>
        <w:t xml:space="preserve"> we made the following observations:</w:t>
      </w:r>
      <w:r w:rsidR="009B0193">
        <w:rPr>
          <w:rFonts w:ascii="Arial" w:hAnsi="Arial" w:cs="Arial"/>
          <w:sz w:val="20"/>
          <w:szCs w:val="20"/>
        </w:rPr>
        <w:t xml:space="preserve"> </w:t>
      </w:r>
    </w:p>
    <w:p w14:paraId="546F07E1" w14:textId="72B68AF6" w:rsidR="00306329" w:rsidRDefault="00284C49" w:rsidP="00284C49">
      <w:pPr>
        <w:pStyle w:val="Observation"/>
        <w:numPr>
          <w:ilvl w:val="0"/>
          <w:numId w:val="21"/>
        </w:numPr>
        <w:ind w:left="1710" w:hanging="1710"/>
        <w:rPr>
          <w:rFonts w:ascii="Arial" w:hAnsi="Arial" w:cs="Arial"/>
          <w:sz w:val="20"/>
          <w:szCs w:val="20"/>
        </w:rPr>
      </w:pPr>
      <w:r w:rsidRPr="00284C49">
        <w:rPr>
          <w:rFonts w:ascii="Arial" w:hAnsi="Arial" w:cs="Arial"/>
          <w:sz w:val="20"/>
          <w:szCs w:val="20"/>
        </w:rPr>
        <w:t>Assuming that LTE will work on low numerologies in case of NE-DC, the latencies over the LTE</w:t>
      </w:r>
      <w:r w:rsidR="00EA3BD1">
        <w:rPr>
          <w:rFonts w:ascii="Arial" w:hAnsi="Arial" w:cs="Arial"/>
          <w:sz w:val="20"/>
          <w:szCs w:val="20"/>
        </w:rPr>
        <w:t xml:space="preserve"> air</w:t>
      </w:r>
      <w:r w:rsidRPr="00284C49">
        <w:rPr>
          <w:rFonts w:ascii="Arial" w:hAnsi="Arial" w:cs="Arial"/>
          <w:sz w:val="20"/>
          <w:szCs w:val="20"/>
        </w:rPr>
        <w:t xml:space="preserve"> interface (at the SN) would be </w:t>
      </w:r>
      <w:r w:rsidR="00CA2088">
        <w:rPr>
          <w:rFonts w:ascii="Arial" w:hAnsi="Arial" w:cs="Arial"/>
          <w:sz w:val="20"/>
          <w:szCs w:val="20"/>
        </w:rPr>
        <w:t>higher</w:t>
      </w:r>
      <w:r w:rsidR="00CA2088" w:rsidRPr="00284C49">
        <w:rPr>
          <w:rFonts w:ascii="Arial" w:hAnsi="Arial" w:cs="Arial"/>
          <w:sz w:val="20"/>
          <w:szCs w:val="20"/>
        </w:rPr>
        <w:t xml:space="preserve"> </w:t>
      </w:r>
      <w:r w:rsidRPr="00284C49">
        <w:rPr>
          <w:rFonts w:ascii="Arial" w:hAnsi="Arial" w:cs="Arial"/>
          <w:sz w:val="20"/>
          <w:szCs w:val="20"/>
        </w:rPr>
        <w:t>than the one of NR (deployed in the MN).</w:t>
      </w:r>
      <w:bookmarkStart w:id="1" w:name="_GoBack"/>
      <w:bookmarkEnd w:id="1"/>
    </w:p>
    <w:p w14:paraId="558C02CF" w14:textId="28CB8937" w:rsidR="00644A17" w:rsidRPr="00644A17" w:rsidRDefault="00644A17" w:rsidP="00644A17">
      <w:pPr>
        <w:pStyle w:val="Observation"/>
        <w:numPr>
          <w:ilvl w:val="0"/>
          <w:numId w:val="0"/>
        </w:numPr>
        <w:rPr>
          <w:rFonts w:ascii="Arial" w:hAnsi="Arial" w:cs="Arial"/>
          <w:b w:val="0"/>
          <w:sz w:val="20"/>
          <w:szCs w:val="20"/>
        </w:rPr>
      </w:pPr>
      <w:r w:rsidRPr="00644A17">
        <w:rPr>
          <w:rFonts w:ascii="Arial" w:hAnsi="Arial" w:cs="Arial"/>
          <w:b w:val="0"/>
          <w:sz w:val="20"/>
          <w:szCs w:val="20"/>
        </w:rPr>
        <w:t xml:space="preserve">Based on the discussion in section </w:t>
      </w:r>
      <w:r w:rsidRPr="00644A17">
        <w:rPr>
          <w:rFonts w:ascii="Arial" w:hAnsi="Arial" w:cs="Arial"/>
          <w:b w:val="0"/>
          <w:sz w:val="20"/>
          <w:szCs w:val="20"/>
          <w:highlight w:val="cyan"/>
        </w:rPr>
        <w:fldChar w:fldCharType="begin"/>
      </w:r>
      <w:r w:rsidRPr="00644A17">
        <w:rPr>
          <w:rFonts w:ascii="Arial" w:hAnsi="Arial" w:cs="Arial"/>
          <w:b w:val="0"/>
          <w:sz w:val="20"/>
          <w:szCs w:val="20"/>
        </w:rPr>
        <w:instrText xml:space="preserve"> REF _Ref178064866 \r \h </w:instrText>
      </w:r>
      <w:r w:rsidRPr="00644A17">
        <w:rPr>
          <w:rFonts w:ascii="Arial" w:hAnsi="Arial" w:cs="Arial"/>
          <w:b w:val="0"/>
          <w:sz w:val="20"/>
          <w:szCs w:val="20"/>
          <w:highlight w:val="cyan"/>
        </w:rPr>
        <w:instrText xml:space="preserve"> \* MERGEFORMAT </w:instrText>
      </w:r>
      <w:r w:rsidRPr="00644A17">
        <w:rPr>
          <w:rFonts w:ascii="Arial" w:hAnsi="Arial" w:cs="Arial"/>
          <w:b w:val="0"/>
          <w:sz w:val="20"/>
          <w:szCs w:val="20"/>
          <w:highlight w:val="cyan"/>
        </w:rPr>
      </w:r>
      <w:r w:rsidRPr="00644A17">
        <w:rPr>
          <w:rFonts w:ascii="Arial" w:hAnsi="Arial" w:cs="Arial"/>
          <w:b w:val="0"/>
          <w:sz w:val="20"/>
          <w:szCs w:val="20"/>
          <w:highlight w:val="cyan"/>
        </w:rPr>
        <w:fldChar w:fldCharType="separate"/>
      </w:r>
      <w:r w:rsidRPr="00644A17">
        <w:rPr>
          <w:rFonts w:ascii="Arial" w:hAnsi="Arial" w:cs="Arial"/>
          <w:b w:val="0"/>
          <w:sz w:val="20"/>
          <w:szCs w:val="20"/>
        </w:rPr>
        <w:t>2</w:t>
      </w:r>
      <w:r w:rsidRPr="00644A17">
        <w:rPr>
          <w:rFonts w:ascii="Arial" w:hAnsi="Arial" w:cs="Arial"/>
          <w:b w:val="0"/>
          <w:sz w:val="20"/>
          <w:szCs w:val="20"/>
          <w:highlight w:val="cyan"/>
        </w:rPr>
        <w:fldChar w:fldCharType="end"/>
      </w:r>
      <w:r w:rsidRPr="00644A17">
        <w:rPr>
          <w:rFonts w:ascii="Arial" w:hAnsi="Arial" w:cs="Arial"/>
          <w:b w:val="0"/>
          <w:sz w:val="20"/>
          <w:szCs w:val="20"/>
        </w:rPr>
        <w:t xml:space="preserve"> we propose the following:</w:t>
      </w:r>
    </w:p>
    <w:p w14:paraId="2FA41469" w14:textId="651E2B83" w:rsidR="00284C49" w:rsidRPr="00284C49" w:rsidRDefault="00284C49" w:rsidP="00284C49">
      <w:pPr>
        <w:pStyle w:val="Proposal"/>
        <w:numPr>
          <w:ilvl w:val="0"/>
          <w:numId w:val="19"/>
        </w:numPr>
        <w:ind w:hanging="1736"/>
        <w:rPr>
          <w:rFonts w:ascii="Arial" w:hAnsi="Arial" w:cs="Arial"/>
          <w:sz w:val="20"/>
          <w:szCs w:val="20"/>
        </w:rPr>
      </w:pPr>
      <w:r w:rsidRPr="00284C49">
        <w:rPr>
          <w:rFonts w:ascii="Arial" w:hAnsi="Arial" w:cs="Arial"/>
          <w:sz w:val="20"/>
          <w:szCs w:val="20"/>
        </w:rPr>
        <w:t>SRB3 for NE-DC is not supported.</w:t>
      </w:r>
    </w:p>
    <w:p w14:paraId="5F523A1B" w14:textId="77777777" w:rsidR="00F507D1" w:rsidRPr="00F23D9D" w:rsidRDefault="00F507D1" w:rsidP="00CE0424">
      <w:pPr>
        <w:pStyle w:val="Heading1"/>
      </w:pPr>
      <w:bookmarkStart w:id="2" w:name="_In-sequence_SDU_delivery"/>
      <w:bookmarkEnd w:id="2"/>
      <w:r w:rsidRPr="00F23D9D">
        <w:t>References</w:t>
      </w:r>
    </w:p>
    <w:p w14:paraId="4BA83D9C" w14:textId="722E2063" w:rsidR="003D291E" w:rsidRPr="00D569F9" w:rsidRDefault="003D291E" w:rsidP="003D291E">
      <w:pPr>
        <w:pStyle w:val="Reference"/>
        <w:rPr>
          <w:rFonts w:ascii="Arial" w:hAnsi="Arial" w:cs="Arial"/>
          <w:sz w:val="20"/>
          <w:szCs w:val="20"/>
        </w:rPr>
      </w:pPr>
      <w:bookmarkStart w:id="3" w:name="_Ref493080609"/>
      <w:r w:rsidRPr="00D569F9">
        <w:rPr>
          <w:rFonts w:ascii="Arial" w:hAnsi="Arial" w:cs="Arial"/>
          <w:sz w:val="20"/>
          <w:szCs w:val="20"/>
        </w:rPr>
        <w:t>3GPP, TS 36</w:t>
      </w:r>
      <w:r w:rsidR="00C417F6" w:rsidRPr="00D569F9">
        <w:rPr>
          <w:rFonts w:ascii="Arial" w:hAnsi="Arial" w:cs="Arial"/>
          <w:sz w:val="20"/>
          <w:szCs w:val="20"/>
        </w:rPr>
        <w:t>.330</w:t>
      </w:r>
      <w:r w:rsidRPr="00D569F9">
        <w:rPr>
          <w:rFonts w:ascii="Arial" w:hAnsi="Arial" w:cs="Arial"/>
          <w:sz w:val="20"/>
          <w:szCs w:val="20"/>
        </w:rPr>
        <w:t xml:space="preserve"> V14.3.0, 3rd Generation Partnership Project; Technical Specification Group Radio Access Network; Evolved Universal Terrestrial Radio Access (E-UTRA) and Evolved Universal Te</w:t>
      </w:r>
      <w:r w:rsidR="00C417F6" w:rsidRPr="00D569F9">
        <w:rPr>
          <w:rFonts w:ascii="Arial" w:hAnsi="Arial" w:cs="Arial"/>
          <w:sz w:val="20"/>
          <w:szCs w:val="20"/>
        </w:rPr>
        <w:t>rrestrial Radio Access Network</w:t>
      </w:r>
      <w:r w:rsidRPr="00D569F9">
        <w:rPr>
          <w:rFonts w:ascii="Arial" w:hAnsi="Arial" w:cs="Arial"/>
          <w:sz w:val="20"/>
          <w:szCs w:val="20"/>
        </w:rPr>
        <w:t xml:space="preserve"> (E-UTRAN); Overall description; Stage 2 (Release 14).</w:t>
      </w:r>
      <w:bookmarkEnd w:id="3"/>
    </w:p>
    <w:p w14:paraId="437D32AD" w14:textId="77777777" w:rsidR="003A7EF3" w:rsidRPr="00D569F9" w:rsidRDefault="003A7EF3" w:rsidP="00CE0424">
      <w:pPr>
        <w:pStyle w:val="BodyText"/>
        <w:rPr>
          <w:rFonts w:ascii="Arial" w:hAnsi="Arial" w:cs="Arial"/>
        </w:rPr>
      </w:pPr>
    </w:p>
    <w:sectPr w:rsidR="003A7EF3" w:rsidRPr="00D56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7C24" w14:textId="77777777" w:rsidR="00A64898" w:rsidRDefault="00A64898">
      <w:r>
        <w:separator/>
      </w:r>
    </w:p>
  </w:endnote>
  <w:endnote w:type="continuationSeparator" w:id="0">
    <w:p w14:paraId="6037169C" w14:textId="77777777" w:rsidR="00A64898" w:rsidRDefault="00A6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405D" w14:textId="2D3372B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3B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3BD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D2C85" w14:textId="77777777" w:rsidR="00A64898" w:rsidRDefault="00A64898">
      <w:r>
        <w:separator/>
      </w:r>
    </w:p>
  </w:footnote>
  <w:footnote w:type="continuationSeparator" w:id="0">
    <w:p w14:paraId="0945BCB5" w14:textId="77777777" w:rsidR="00A64898" w:rsidRDefault="00A6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41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E6DC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EEE44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428495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15:restartNumberingAfterBreak="0">
    <w:nsid w:val="3BA86B8B"/>
    <w:multiLevelType w:val="hybridMultilevel"/>
    <w:tmpl w:val="ED04728E"/>
    <w:lvl w:ilvl="0" w:tplc="948EB2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8778C"/>
    <w:multiLevelType w:val="hybridMultilevel"/>
    <w:tmpl w:val="2CC4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9"/>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xMDIyNjY1MbEwNDFV0lEKTi0uzszPAykwqwUAw0qkjCwAAAA="/>
  </w:docVars>
  <w:rsids>
    <w:rsidRoot w:val="004D1BFD"/>
    <w:rsid w:val="000006E1"/>
    <w:rsid w:val="00001AE9"/>
    <w:rsid w:val="00002A37"/>
    <w:rsid w:val="000039F4"/>
    <w:rsid w:val="00006446"/>
    <w:rsid w:val="00006896"/>
    <w:rsid w:val="00006C53"/>
    <w:rsid w:val="00007CDC"/>
    <w:rsid w:val="00011B28"/>
    <w:rsid w:val="00015D15"/>
    <w:rsid w:val="0002564D"/>
    <w:rsid w:val="00025ECA"/>
    <w:rsid w:val="000325B8"/>
    <w:rsid w:val="00034C15"/>
    <w:rsid w:val="00036BA1"/>
    <w:rsid w:val="000422E2"/>
    <w:rsid w:val="00042F22"/>
    <w:rsid w:val="000444EF"/>
    <w:rsid w:val="00044F93"/>
    <w:rsid w:val="00052A07"/>
    <w:rsid w:val="000534E3"/>
    <w:rsid w:val="0005606A"/>
    <w:rsid w:val="00057117"/>
    <w:rsid w:val="000616E7"/>
    <w:rsid w:val="000646BC"/>
    <w:rsid w:val="0006487E"/>
    <w:rsid w:val="00065E1A"/>
    <w:rsid w:val="00070208"/>
    <w:rsid w:val="00077E5F"/>
    <w:rsid w:val="0008036A"/>
    <w:rsid w:val="00081AE6"/>
    <w:rsid w:val="000855EB"/>
    <w:rsid w:val="00085B52"/>
    <w:rsid w:val="000866F2"/>
    <w:rsid w:val="0009009F"/>
    <w:rsid w:val="00091557"/>
    <w:rsid w:val="000924C1"/>
    <w:rsid w:val="000924F0"/>
    <w:rsid w:val="00093474"/>
    <w:rsid w:val="0009510F"/>
    <w:rsid w:val="00095F3F"/>
    <w:rsid w:val="000A1B7B"/>
    <w:rsid w:val="000A56F2"/>
    <w:rsid w:val="000B2719"/>
    <w:rsid w:val="000B3A8F"/>
    <w:rsid w:val="000B4AB9"/>
    <w:rsid w:val="000B58C3"/>
    <w:rsid w:val="000B61E9"/>
    <w:rsid w:val="000C165A"/>
    <w:rsid w:val="000C2E19"/>
    <w:rsid w:val="000D0D07"/>
    <w:rsid w:val="000D4126"/>
    <w:rsid w:val="000D4797"/>
    <w:rsid w:val="000E0527"/>
    <w:rsid w:val="000E1E92"/>
    <w:rsid w:val="000F06D6"/>
    <w:rsid w:val="000F0EB1"/>
    <w:rsid w:val="000F1106"/>
    <w:rsid w:val="000F3BE9"/>
    <w:rsid w:val="000F3F6C"/>
    <w:rsid w:val="000F6DF3"/>
    <w:rsid w:val="001005FF"/>
    <w:rsid w:val="001062FB"/>
    <w:rsid w:val="001063E6"/>
    <w:rsid w:val="001102C3"/>
    <w:rsid w:val="00112E06"/>
    <w:rsid w:val="00113CF4"/>
    <w:rsid w:val="001153EA"/>
    <w:rsid w:val="00115643"/>
    <w:rsid w:val="00116765"/>
    <w:rsid w:val="001219F5"/>
    <w:rsid w:val="00121A20"/>
    <w:rsid w:val="0012377F"/>
    <w:rsid w:val="00124314"/>
    <w:rsid w:val="00126B4A"/>
    <w:rsid w:val="001328A9"/>
    <w:rsid w:val="00132B50"/>
    <w:rsid w:val="00132FD0"/>
    <w:rsid w:val="001344C0"/>
    <w:rsid w:val="001346FA"/>
    <w:rsid w:val="00135252"/>
    <w:rsid w:val="00137AB5"/>
    <w:rsid w:val="00137F0B"/>
    <w:rsid w:val="00151E23"/>
    <w:rsid w:val="001526E0"/>
    <w:rsid w:val="001551B5"/>
    <w:rsid w:val="00157F4C"/>
    <w:rsid w:val="001659C1"/>
    <w:rsid w:val="00173A8E"/>
    <w:rsid w:val="001754B7"/>
    <w:rsid w:val="0017590F"/>
    <w:rsid w:val="00177795"/>
    <w:rsid w:val="00180720"/>
    <w:rsid w:val="0018143F"/>
    <w:rsid w:val="00190AC1"/>
    <w:rsid w:val="0019341A"/>
    <w:rsid w:val="00197DF9"/>
    <w:rsid w:val="001A1987"/>
    <w:rsid w:val="001A2564"/>
    <w:rsid w:val="001A3EF4"/>
    <w:rsid w:val="001A6173"/>
    <w:rsid w:val="001A6CBA"/>
    <w:rsid w:val="001B0D97"/>
    <w:rsid w:val="001B14C3"/>
    <w:rsid w:val="001B5A5D"/>
    <w:rsid w:val="001C1CE5"/>
    <w:rsid w:val="001C3D2A"/>
    <w:rsid w:val="001C786C"/>
    <w:rsid w:val="001D0705"/>
    <w:rsid w:val="001D2926"/>
    <w:rsid w:val="001D51BA"/>
    <w:rsid w:val="001D5B0C"/>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109"/>
    <w:rsid w:val="00241559"/>
    <w:rsid w:val="00242283"/>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C49"/>
    <w:rsid w:val="00286ACD"/>
    <w:rsid w:val="00287838"/>
    <w:rsid w:val="002907B5"/>
    <w:rsid w:val="00292EB7"/>
    <w:rsid w:val="00296227"/>
    <w:rsid w:val="00296F44"/>
    <w:rsid w:val="0029777D"/>
    <w:rsid w:val="002A055E"/>
    <w:rsid w:val="002A109E"/>
    <w:rsid w:val="002A1D4E"/>
    <w:rsid w:val="002A2869"/>
    <w:rsid w:val="002B24D6"/>
    <w:rsid w:val="002C41E6"/>
    <w:rsid w:val="002D071A"/>
    <w:rsid w:val="002D34B2"/>
    <w:rsid w:val="002D38E0"/>
    <w:rsid w:val="002D7637"/>
    <w:rsid w:val="002E17F2"/>
    <w:rsid w:val="002E7CAE"/>
    <w:rsid w:val="002F2771"/>
    <w:rsid w:val="002F37A9"/>
    <w:rsid w:val="00301CE6"/>
    <w:rsid w:val="0030256B"/>
    <w:rsid w:val="0030501F"/>
    <w:rsid w:val="00306329"/>
    <w:rsid w:val="00307220"/>
    <w:rsid w:val="00307BA1"/>
    <w:rsid w:val="003116BB"/>
    <w:rsid w:val="00311702"/>
    <w:rsid w:val="00311E82"/>
    <w:rsid w:val="00313FD6"/>
    <w:rsid w:val="003143BD"/>
    <w:rsid w:val="003203ED"/>
    <w:rsid w:val="00322C9F"/>
    <w:rsid w:val="00324D23"/>
    <w:rsid w:val="00331751"/>
    <w:rsid w:val="00334579"/>
    <w:rsid w:val="00335858"/>
    <w:rsid w:val="00336BDA"/>
    <w:rsid w:val="00342BD7"/>
    <w:rsid w:val="00343A07"/>
    <w:rsid w:val="00345105"/>
    <w:rsid w:val="00346DB5"/>
    <w:rsid w:val="003477B1"/>
    <w:rsid w:val="0035491B"/>
    <w:rsid w:val="00355213"/>
    <w:rsid w:val="003552FE"/>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7BF"/>
    <w:rsid w:val="003C7806"/>
    <w:rsid w:val="003D109F"/>
    <w:rsid w:val="003D2478"/>
    <w:rsid w:val="003D291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8FE"/>
    <w:rsid w:val="00421105"/>
    <w:rsid w:val="004242F4"/>
    <w:rsid w:val="00427248"/>
    <w:rsid w:val="00437447"/>
    <w:rsid w:val="00440D80"/>
    <w:rsid w:val="00441A92"/>
    <w:rsid w:val="004424DB"/>
    <w:rsid w:val="00444F56"/>
    <w:rsid w:val="00446488"/>
    <w:rsid w:val="004517AA"/>
    <w:rsid w:val="00452CAC"/>
    <w:rsid w:val="00457565"/>
    <w:rsid w:val="00457B71"/>
    <w:rsid w:val="004669E2"/>
    <w:rsid w:val="00470C31"/>
    <w:rsid w:val="004734D0"/>
    <w:rsid w:val="0047556B"/>
    <w:rsid w:val="00477768"/>
    <w:rsid w:val="00487642"/>
    <w:rsid w:val="00492BC5"/>
    <w:rsid w:val="004964F1"/>
    <w:rsid w:val="004A16BC"/>
    <w:rsid w:val="004A2B94"/>
    <w:rsid w:val="004A6024"/>
    <w:rsid w:val="004B7C0C"/>
    <w:rsid w:val="004C2DB9"/>
    <w:rsid w:val="004C3898"/>
    <w:rsid w:val="004D1BFD"/>
    <w:rsid w:val="004D36B1"/>
    <w:rsid w:val="004D7EBD"/>
    <w:rsid w:val="004E2680"/>
    <w:rsid w:val="004E28F9"/>
    <w:rsid w:val="004E462E"/>
    <w:rsid w:val="004E56DC"/>
    <w:rsid w:val="004E76F4"/>
    <w:rsid w:val="004F0B4E"/>
    <w:rsid w:val="004F0B6C"/>
    <w:rsid w:val="004F2078"/>
    <w:rsid w:val="004F2093"/>
    <w:rsid w:val="004F4DA3"/>
    <w:rsid w:val="004F5DBA"/>
    <w:rsid w:val="005030FB"/>
    <w:rsid w:val="0050613A"/>
    <w:rsid w:val="00506557"/>
    <w:rsid w:val="00506744"/>
    <w:rsid w:val="0050677A"/>
    <w:rsid w:val="005108D8"/>
    <w:rsid w:val="005116F9"/>
    <w:rsid w:val="005153A7"/>
    <w:rsid w:val="005219CF"/>
    <w:rsid w:val="00527B5F"/>
    <w:rsid w:val="00534B59"/>
    <w:rsid w:val="00536759"/>
    <w:rsid w:val="00537C62"/>
    <w:rsid w:val="00546970"/>
    <w:rsid w:val="005500BC"/>
    <w:rsid w:val="00554E19"/>
    <w:rsid w:val="00556A2A"/>
    <w:rsid w:val="0056121F"/>
    <w:rsid w:val="005630C5"/>
    <w:rsid w:val="00572505"/>
    <w:rsid w:val="00582809"/>
    <w:rsid w:val="0058798C"/>
    <w:rsid w:val="005900FA"/>
    <w:rsid w:val="005935A4"/>
    <w:rsid w:val="005948C2"/>
    <w:rsid w:val="00595DCA"/>
    <w:rsid w:val="0059779B"/>
    <w:rsid w:val="005A209A"/>
    <w:rsid w:val="005A662D"/>
    <w:rsid w:val="005B35D7"/>
    <w:rsid w:val="005B392A"/>
    <w:rsid w:val="005B3AA3"/>
    <w:rsid w:val="005B4A9A"/>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902"/>
    <w:rsid w:val="006377EC"/>
    <w:rsid w:val="0064151F"/>
    <w:rsid w:val="00641533"/>
    <w:rsid w:val="0064208D"/>
    <w:rsid w:val="00642AB3"/>
    <w:rsid w:val="00643475"/>
    <w:rsid w:val="0064396A"/>
    <w:rsid w:val="00644A17"/>
    <w:rsid w:val="0064624E"/>
    <w:rsid w:val="00650AB9"/>
    <w:rsid w:val="00655733"/>
    <w:rsid w:val="00655ACD"/>
    <w:rsid w:val="00656A92"/>
    <w:rsid w:val="00656DDE"/>
    <w:rsid w:val="0066011D"/>
    <w:rsid w:val="006607C0"/>
    <w:rsid w:val="006613A6"/>
    <w:rsid w:val="006627A2"/>
    <w:rsid w:val="006634E6"/>
    <w:rsid w:val="0066431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0D2"/>
    <w:rsid w:val="00695FC2"/>
    <w:rsid w:val="00696949"/>
    <w:rsid w:val="00697052"/>
    <w:rsid w:val="006A26C9"/>
    <w:rsid w:val="006A46FB"/>
    <w:rsid w:val="006A5E28"/>
    <w:rsid w:val="006A674B"/>
    <w:rsid w:val="006A697B"/>
    <w:rsid w:val="006A7AFF"/>
    <w:rsid w:val="006B1816"/>
    <w:rsid w:val="006B2099"/>
    <w:rsid w:val="006B50CF"/>
    <w:rsid w:val="006C03B8"/>
    <w:rsid w:val="006C22A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3C6"/>
    <w:rsid w:val="00727680"/>
    <w:rsid w:val="00732485"/>
    <w:rsid w:val="007348B1"/>
    <w:rsid w:val="007362A6"/>
    <w:rsid w:val="007362D0"/>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1FB"/>
    <w:rsid w:val="00785490"/>
    <w:rsid w:val="007925EA"/>
    <w:rsid w:val="00793CD8"/>
    <w:rsid w:val="00795C92"/>
    <w:rsid w:val="00796231"/>
    <w:rsid w:val="007A1CB3"/>
    <w:rsid w:val="007A306F"/>
    <w:rsid w:val="007A43A6"/>
    <w:rsid w:val="007A58A6"/>
    <w:rsid w:val="007A5D5C"/>
    <w:rsid w:val="007B3D2D"/>
    <w:rsid w:val="007B50AE"/>
    <w:rsid w:val="007B51DF"/>
    <w:rsid w:val="007B76D6"/>
    <w:rsid w:val="007C05DD"/>
    <w:rsid w:val="007C3D18"/>
    <w:rsid w:val="007C42C9"/>
    <w:rsid w:val="007C60BF"/>
    <w:rsid w:val="007C6A07"/>
    <w:rsid w:val="007C75A1"/>
    <w:rsid w:val="007C77A5"/>
    <w:rsid w:val="007D04E5"/>
    <w:rsid w:val="007D5901"/>
    <w:rsid w:val="007D7526"/>
    <w:rsid w:val="007E4610"/>
    <w:rsid w:val="007E4715"/>
    <w:rsid w:val="007E505B"/>
    <w:rsid w:val="007E7091"/>
    <w:rsid w:val="007F3640"/>
    <w:rsid w:val="007F55E8"/>
    <w:rsid w:val="00803FAE"/>
    <w:rsid w:val="0080605F"/>
    <w:rsid w:val="00807786"/>
    <w:rsid w:val="008108BA"/>
    <w:rsid w:val="00811FCB"/>
    <w:rsid w:val="008158D6"/>
    <w:rsid w:val="0081643B"/>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C84"/>
    <w:rsid w:val="00870F8A"/>
    <w:rsid w:val="008719A4"/>
    <w:rsid w:val="00871D23"/>
    <w:rsid w:val="00873DB0"/>
    <w:rsid w:val="00874312"/>
    <w:rsid w:val="0087437C"/>
    <w:rsid w:val="00875CD7"/>
    <w:rsid w:val="00876B4D"/>
    <w:rsid w:val="00877F18"/>
    <w:rsid w:val="00894A88"/>
    <w:rsid w:val="00895386"/>
    <w:rsid w:val="008A08E5"/>
    <w:rsid w:val="008A21FF"/>
    <w:rsid w:val="008A2CE2"/>
    <w:rsid w:val="008A30AC"/>
    <w:rsid w:val="008A44B8"/>
    <w:rsid w:val="008A51A8"/>
    <w:rsid w:val="008A54C7"/>
    <w:rsid w:val="008A77D8"/>
    <w:rsid w:val="008B0483"/>
    <w:rsid w:val="008B092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D95"/>
    <w:rsid w:val="0096430A"/>
    <w:rsid w:val="0096554B"/>
    <w:rsid w:val="0096584A"/>
    <w:rsid w:val="009675C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193"/>
    <w:rsid w:val="009B1F30"/>
    <w:rsid w:val="009B3AC2"/>
    <w:rsid w:val="009B4DF4"/>
    <w:rsid w:val="009B564E"/>
    <w:rsid w:val="009B70B4"/>
    <w:rsid w:val="009B7E87"/>
    <w:rsid w:val="009C403E"/>
    <w:rsid w:val="009D42CA"/>
    <w:rsid w:val="009D4FF0"/>
    <w:rsid w:val="009D703C"/>
    <w:rsid w:val="009D718F"/>
    <w:rsid w:val="009E068F"/>
    <w:rsid w:val="009E14E0"/>
    <w:rsid w:val="009E35DB"/>
    <w:rsid w:val="009E38F0"/>
    <w:rsid w:val="009E47A3"/>
    <w:rsid w:val="009F08F3"/>
    <w:rsid w:val="009F344F"/>
    <w:rsid w:val="00A048A8"/>
    <w:rsid w:val="00A04F49"/>
    <w:rsid w:val="00A12F87"/>
    <w:rsid w:val="00A13E54"/>
    <w:rsid w:val="00A17F63"/>
    <w:rsid w:val="00A2052C"/>
    <w:rsid w:val="00A2193B"/>
    <w:rsid w:val="00A2351A"/>
    <w:rsid w:val="00A264A9"/>
    <w:rsid w:val="00A27785"/>
    <w:rsid w:val="00A30187"/>
    <w:rsid w:val="00A3448A"/>
    <w:rsid w:val="00A36297"/>
    <w:rsid w:val="00A416DF"/>
    <w:rsid w:val="00A41E2B"/>
    <w:rsid w:val="00A45B74"/>
    <w:rsid w:val="00A52E1D"/>
    <w:rsid w:val="00A61499"/>
    <w:rsid w:val="00A62A77"/>
    <w:rsid w:val="00A63483"/>
    <w:rsid w:val="00A64898"/>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38C"/>
    <w:rsid w:val="00AC2ECD"/>
    <w:rsid w:val="00AC3119"/>
    <w:rsid w:val="00AC49FB"/>
    <w:rsid w:val="00AC5A10"/>
    <w:rsid w:val="00AC5A20"/>
    <w:rsid w:val="00AD0AA3"/>
    <w:rsid w:val="00AD3F94"/>
    <w:rsid w:val="00AD4A5A"/>
    <w:rsid w:val="00AD5147"/>
    <w:rsid w:val="00AE27AC"/>
    <w:rsid w:val="00AE3743"/>
    <w:rsid w:val="00AE40E0"/>
    <w:rsid w:val="00AE4DBA"/>
    <w:rsid w:val="00AE4F07"/>
    <w:rsid w:val="00AF1C5D"/>
    <w:rsid w:val="00AF42D7"/>
    <w:rsid w:val="00B006FE"/>
    <w:rsid w:val="00B007CB"/>
    <w:rsid w:val="00B02AA9"/>
    <w:rsid w:val="00B02FA3"/>
    <w:rsid w:val="00B05084"/>
    <w:rsid w:val="00B111E3"/>
    <w:rsid w:val="00B157F9"/>
    <w:rsid w:val="00B20256"/>
    <w:rsid w:val="00B20D09"/>
    <w:rsid w:val="00B25670"/>
    <w:rsid w:val="00B2763F"/>
    <w:rsid w:val="00B27AAC"/>
    <w:rsid w:val="00B30929"/>
    <w:rsid w:val="00B309AD"/>
    <w:rsid w:val="00B372AA"/>
    <w:rsid w:val="00B40445"/>
    <w:rsid w:val="00B41888"/>
    <w:rsid w:val="00B45A52"/>
    <w:rsid w:val="00B46175"/>
    <w:rsid w:val="00B6188F"/>
    <w:rsid w:val="00B664C7"/>
    <w:rsid w:val="00B739F6"/>
    <w:rsid w:val="00B81A6C"/>
    <w:rsid w:val="00B82245"/>
    <w:rsid w:val="00B8306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9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5E"/>
    <w:rsid w:val="00C279B5"/>
    <w:rsid w:val="00C27C45"/>
    <w:rsid w:val="00C3719D"/>
    <w:rsid w:val="00C417F6"/>
    <w:rsid w:val="00C54995"/>
    <w:rsid w:val="00C54D41"/>
    <w:rsid w:val="00C60783"/>
    <w:rsid w:val="00C64672"/>
    <w:rsid w:val="00C70697"/>
    <w:rsid w:val="00C72EF4"/>
    <w:rsid w:val="00C74149"/>
    <w:rsid w:val="00C75D2F"/>
    <w:rsid w:val="00C767BE"/>
    <w:rsid w:val="00C76E3C"/>
    <w:rsid w:val="00C81568"/>
    <w:rsid w:val="00C82F64"/>
    <w:rsid w:val="00C9027A"/>
    <w:rsid w:val="00C9068E"/>
    <w:rsid w:val="00C93C4B"/>
    <w:rsid w:val="00C944AB"/>
    <w:rsid w:val="00C95B40"/>
    <w:rsid w:val="00CA1389"/>
    <w:rsid w:val="00CA1ED8"/>
    <w:rsid w:val="00CA2088"/>
    <w:rsid w:val="00CB1F63"/>
    <w:rsid w:val="00CB7170"/>
    <w:rsid w:val="00CC040E"/>
    <w:rsid w:val="00CC111F"/>
    <w:rsid w:val="00CC2011"/>
    <w:rsid w:val="00CC3EA0"/>
    <w:rsid w:val="00CC7B45"/>
    <w:rsid w:val="00CD1188"/>
    <w:rsid w:val="00CD2ED1"/>
    <w:rsid w:val="00CD337B"/>
    <w:rsid w:val="00CD4FF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9F9"/>
    <w:rsid w:val="00D576CA"/>
    <w:rsid w:val="00D6183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101"/>
    <w:rsid w:val="00DB377D"/>
    <w:rsid w:val="00DB4310"/>
    <w:rsid w:val="00DC2D36"/>
    <w:rsid w:val="00DC3144"/>
    <w:rsid w:val="00DC53EF"/>
    <w:rsid w:val="00DE5608"/>
    <w:rsid w:val="00DE58D0"/>
    <w:rsid w:val="00DE654F"/>
    <w:rsid w:val="00DF0B6E"/>
    <w:rsid w:val="00DF15E0"/>
    <w:rsid w:val="00DF37A0"/>
    <w:rsid w:val="00E07569"/>
    <w:rsid w:val="00E110E7"/>
    <w:rsid w:val="00E11B20"/>
    <w:rsid w:val="00E13C00"/>
    <w:rsid w:val="00E17FA2"/>
    <w:rsid w:val="00E22330"/>
    <w:rsid w:val="00E30B5A"/>
    <w:rsid w:val="00E3123D"/>
    <w:rsid w:val="00E31461"/>
    <w:rsid w:val="00E31D43"/>
    <w:rsid w:val="00E32608"/>
    <w:rsid w:val="00E34188"/>
    <w:rsid w:val="00E34B6E"/>
    <w:rsid w:val="00E35559"/>
    <w:rsid w:val="00E36B17"/>
    <w:rsid w:val="00E3723A"/>
    <w:rsid w:val="00E37860"/>
    <w:rsid w:val="00E446F1"/>
    <w:rsid w:val="00E46886"/>
    <w:rsid w:val="00E47AEF"/>
    <w:rsid w:val="00E53B75"/>
    <w:rsid w:val="00E54E3B"/>
    <w:rsid w:val="00E57565"/>
    <w:rsid w:val="00E63838"/>
    <w:rsid w:val="00E641F3"/>
    <w:rsid w:val="00E64434"/>
    <w:rsid w:val="00E67C51"/>
    <w:rsid w:val="00E72EFC"/>
    <w:rsid w:val="00E758EC"/>
    <w:rsid w:val="00E80966"/>
    <w:rsid w:val="00E8234C"/>
    <w:rsid w:val="00E83AA9"/>
    <w:rsid w:val="00E83EC4"/>
    <w:rsid w:val="00E85928"/>
    <w:rsid w:val="00E87822"/>
    <w:rsid w:val="00E90395"/>
    <w:rsid w:val="00E90E49"/>
    <w:rsid w:val="00E917F9"/>
    <w:rsid w:val="00E9291C"/>
    <w:rsid w:val="00E93FFE"/>
    <w:rsid w:val="00E94F8A"/>
    <w:rsid w:val="00EA3BD1"/>
    <w:rsid w:val="00EA7A41"/>
    <w:rsid w:val="00EB0725"/>
    <w:rsid w:val="00EB077B"/>
    <w:rsid w:val="00EB4EA2"/>
    <w:rsid w:val="00EC27C6"/>
    <w:rsid w:val="00EC2C3F"/>
    <w:rsid w:val="00EC4207"/>
    <w:rsid w:val="00EC5653"/>
    <w:rsid w:val="00EC71CE"/>
    <w:rsid w:val="00ED1006"/>
    <w:rsid w:val="00ED2130"/>
    <w:rsid w:val="00ED2634"/>
    <w:rsid w:val="00EF18FE"/>
    <w:rsid w:val="00EF5787"/>
    <w:rsid w:val="00EF60D0"/>
    <w:rsid w:val="00F048AE"/>
    <w:rsid w:val="00F0528D"/>
    <w:rsid w:val="00F060EB"/>
    <w:rsid w:val="00F06C67"/>
    <w:rsid w:val="00F06DFD"/>
    <w:rsid w:val="00F071D1"/>
    <w:rsid w:val="00F07533"/>
    <w:rsid w:val="00F10629"/>
    <w:rsid w:val="00F15FA5"/>
    <w:rsid w:val="00F209B7"/>
    <w:rsid w:val="00F20F12"/>
    <w:rsid w:val="00F2376F"/>
    <w:rsid w:val="00F23D9D"/>
    <w:rsid w:val="00F243D8"/>
    <w:rsid w:val="00F3037F"/>
    <w:rsid w:val="00F30828"/>
    <w:rsid w:val="00F313D6"/>
    <w:rsid w:val="00F40F0C"/>
    <w:rsid w:val="00F4766C"/>
    <w:rsid w:val="00F507D1"/>
    <w:rsid w:val="00F519CE"/>
    <w:rsid w:val="00F51ADA"/>
    <w:rsid w:val="00F5742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37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3EB88A"/>
  <w15:chartTrackingRefBased/>
  <w15:docId w15:val="{0EA10D4F-8E6E-4A2E-A11B-8780407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3C0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13C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C0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B0725"/>
    <w:pPr>
      <w:ind w:left="720"/>
      <w:contextualSpacing/>
    </w:pPr>
  </w:style>
  <w:style w:type="character" w:customStyle="1" w:styleId="B2Char">
    <w:name w:val="B2 Char"/>
    <w:link w:val="B2"/>
    <w:locked/>
    <w:rsid w:val="00EB0725"/>
    <w:rPr>
      <w:rFonts w:asciiTheme="minorHAnsi" w:eastAsiaTheme="minorHAnsi" w:hAnsiTheme="minorHAnsi" w:cstheme="minorBidi"/>
      <w:sz w:val="22"/>
      <w:szCs w:val="22"/>
    </w:rPr>
  </w:style>
  <w:style w:type="character" w:customStyle="1" w:styleId="ReferenceChar">
    <w:name w:val="Reference Char"/>
    <w:link w:val="Reference"/>
    <w:locked/>
    <w:rsid w:val="003D291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840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5NUHHDQN7SK2-1476151046-20636</_dlc_DocId>
    <_dlc_DocIdUrl xmlns="f166a696-7b5b-4ccd-9f0c-ffde0cceec81">
      <Url>https://ericsson.sharepoint.com/sites/star/_layouts/15/DocIdRedir.aspx?ID=5NUHHDQN7SK2-1476151046-20636</Url>
      <Description>5NUHHDQN7SK2-1476151046-20636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82824-5D41-4A30-A8A5-FEE04E7F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A1246C4-1077-44B0-B51D-F99FBDADB8DE}">
  <ds:schemaRefs>
    <ds:schemaRef ds:uri="Microsoft.SharePoint.Taxonomy.ContentTypeSync"/>
  </ds:schemaRefs>
</ds:datastoreItem>
</file>

<file path=customXml/itemProps4.xml><?xml version="1.0" encoding="utf-8"?>
<ds:datastoreItem xmlns:ds="http://schemas.openxmlformats.org/officeDocument/2006/customXml" ds:itemID="{278AFA4E-A876-4680-B24E-307630184A4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www.w3.org/XML/1998/namespace"/>
    <ds:schemaRef ds:uri="http://purl.org/dc/terms/"/>
    <ds:schemaRef ds:uri="611109f9-ed58-4498-a270-1fb2086a5321"/>
    <ds:schemaRef ds:uri="http://purl.org/dc/elements/1.1/"/>
    <ds:schemaRef ds:uri="http://schemas.microsoft.com/office/infopath/2007/PartnerControls"/>
    <ds:schemaRef ds:uri="d8762117-8292-4133-b1c7-eab5c6487cfd"/>
    <ds:schemaRef ds:uri="http://purl.org/dc/dcmitype/"/>
    <ds:schemaRef ds:uri="http://schemas.microsoft.com/sharepoint/v4"/>
    <ds:schemaRef ds:uri="http://schemas.openxmlformats.org/package/2006/metadata/core-properties"/>
    <ds:schemaRef ds:uri="f166a696-7b5b-4ccd-9f0c-ffde0cceec81"/>
    <ds:schemaRef ds:uri="http://schemas.microsoft.com/office/2006/metadata/propertie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29E18E7-7E34-4561-B1D6-7D879482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582</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cp:lastModifiedBy>Ericsson</cp:lastModifiedBy>
  <cp:revision>69</cp:revision>
  <cp:lastPrinted>2008-01-31T16:09:00Z</cp:lastPrinted>
  <dcterms:created xsi:type="dcterms:W3CDTF">2018-02-05T13:10:00Z</dcterms:created>
  <dcterms:modified xsi:type="dcterms:W3CDTF">2018-04-05T19:58:00Z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9939f9f9-3475-4fb5-8749-e158f277b762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